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452CA" w14:textId="77777777" w:rsidR="004B72F5" w:rsidRPr="007B538D" w:rsidRDefault="004B72F5" w:rsidP="004B72F5">
      <w:pPr>
        <w:pStyle w:val="NormalWeb"/>
        <w:rPr>
          <w:rFonts w:ascii="Arial" w:hAnsi="Arial" w:cs="Arial"/>
        </w:rPr>
      </w:pPr>
      <w:r>
        <w:br/>
        <w:t> </w:t>
      </w:r>
      <w:r>
        <w:br/>
      </w:r>
      <w:r w:rsidRPr="007B538D">
        <w:rPr>
          <w:rFonts w:ascii="Arial" w:hAnsi="Arial" w:cs="Arial"/>
          <w:sz w:val="32"/>
          <w:szCs w:val="32"/>
        </w:rPr>
        <w:t> </w:t>
      </w:r>
      <w:r w:rsidR="00297A08" w:rsidRPr="007B538D">
        <w:rPr>
          <w:rFonts w:ascii="Arial" w:hAnsi="Arial" w:cs="Arial"/>
          <w:sz w:val="32"/>
          <w:szCs w:val="32"/>
        </w:rPr>
        <w:t>The launch of New Grow</w:t>
      </w:r>
      <w:r w:rsidR="007B538D">
        <w:rPr>
          <w:rFonts w:ascii="Arial" w:hAnsi="Arial" w:cs="Arial"/>
          <w:sz w:val="32"/>
          <w:szCs w:val="32"/>
        </w:rPr>
        <w:t>™</w:t>
      </w:r>
      <w:r w:rsidR="00024A46" w:rsidRPr="007B538D">
        <w:rPr>
          <w:rFonts w:ascii="Arial" w:hAnsi="Arial" w:cs="Arial"/>
          <w:sz w:val="32"/>
          <w:szCs w:val="32"/>
        </w:rPr>
        <w:t xml:space="preserve"> by </w:t>
      </w:r>
      <w:r w:rsidR="00297A08" w:rsidRPr="007B538D">
        <w:rPr>
          <w:rFonts w:ascii="Arial" w:hAnsi="Arial" w:cs="Arial"/>
          <w:sz w:val="32"/>
          <w:szCs w:val="32"/>
        </w:rPr>
        <w:t>Micronutrients Canada</w:t>
      </w:r>
    </w:p>
    <w:p w14:paraId="22D91189" w14:textId="77777777" w:rsidR="004B72F5" w:rsidRDefault="00297A08" w:rsidP="00E64315">
      <w:pPr>
        <w:pStyle w:val="NormalWeb"/>
        <w:spacing w:before="0" w:beforeAutospacing="0" w:after="240" w:afterAutospacing="0"/>
      </w:pPr>
      <w:r>
        <w:rPr>
          <w:rFonts w:ascii="Arial" w:hAnsi="Arial" w:cs="Arial"/>
          <w:sz w:val="20"/>
          <w:szCs w:val="20"/>
        </w:rPr>
        <w:t>Micronutrients Canada</w:t>
      </w:r>
      <w:r w:rsidR="00C37505" w:rsidRPr="00FF49AB">
        <w:rPr>
          <w:rFonts w:ascii="Arial" w:hAnsi="Arial" w:cs="Arial"/>
          <w:sz w:val="20"/>
          <w:szCs w:val="20"/>
        </w:rPr>
        <w:t xml:space="preserve"> was a start-up company that had obtained</w:t>
      </w:r>
      <w:r w:rsidR="004B72F5" w:rsidRPr="00FF49AB">
        <w:rPr>
          <w:rFonts w:ascii="Arial" w:hAnsi="Arial" w:cs="Arial"/>
          <w:sz w:val="20"/>
          <w:szCs w:val="20"/>
        </w:rPr>
        <w:t xml:space="preserve"> patents in both the US and Canada for a new type of lawn-care product. Since the company was comprised of four agricultural engineers and a financial accountant, they were in need of marketing advice conce</w:t>
      </w:r>
      <w:r>
        <w:rPr>
          <w:rFonts w:ascii="Arial" w:hAnsi="Arial" w:cs="Arial"/>
          <w:sz w:val="20"/>
          <w:szCs w:val="20"/>
        </w:rPr>
        <w:t>rning their new product, New Grow</w:t>
      </w:r>
      <w:r w:rsidR="00E64315">
        <w:rPr>
          <w:rFonts w:ascii="Arial" w:hAnsi="Arial" w:cs="Arial"/>
          <w:sz w:val="20"/>
          <w:szCs w:val="20"/>
        </w:rPr>
        <w:t>™</w:t>
      </w:r>
      <w:r w:rsidR="004B72F5" w:rsidRPr="00FF49AB">
        <w:rPr>
          <w:rFonts w:ascii="Arial" w:hAnsi="Arial" w:cs="Arial"/>
          <w:sz w:val="20"/>
          <w:szCs w:val="20"/>
        </w:rPr>
        <w:t>. This product, when applied to most types of grass, enabled the root system to retain water longer, thus reducing the need for both extra watering as well as frequent fertilizing. They were anxious to take this product to market; however, they desperately needed answers to several questions, including which segment to target, how to position their new product, and what type of launch strategy they should use. They approached</w:t>
      </w:r>
      <w:r>
        <w:rPr>
          <w:rFonts w:ascii="Arial" w:hAnsi="Arial" w:cs="Arial"/>
          <w:sz w:val="20"/>
          <w:szCs w:val="20"/>
        </w:rPr>
        <w:t xml:space="preserve"> a group of students at Sheridan College</w:t>
      </w:r>
      <w:r w:rsidR="004B72F5" w:rsidRPr="00FF49AB">
        <w:rPr>
          <w:rFonts w:ascii="Arial" w:hAnsi="Arial" w:cs="Arial"/>
          <w:sz w:val="20"/>
          <w:szCs w:val="20"/>
        </w:rPr>
        <w:t xml:space="preserve"> approximately four weeks ago with their needs. The</w:t>
      </w:r>
      <w:r>
        <w:rPr>
          <w:rFonts w:ascii="Arial" w:hAnsi="Arial" w:cs="Arial"/>
          <w:sz w:val="20"/>
          <w:szCs w:val="20"/>
        </w:rPr>
        <w:t>se students</w:t>
      </w:r>
      <w:r w:rsidR="004B72F5">
        <w:rPr>
          <w:rFonts w:ascii="Arial" w:hAnsi="Arial" w:cs="Arial"/>
          <w:sz w:val="20"/>
          <w:szCs w:val="20"/>
        </w:rPr>
        <w:t xml:space="preserve"> had analyzed the markets, costs, prices, and communications options. Their last task was to f</w:t>
      </w:r>
      <w:r w:rsidR="004A7A77">
        <w:rPr>
          <w:rFonts w:ascii="Arial" w:hAnsi="Arial" w:cs="Arial"/>
          <w:sz w:val="20"/>
          <w:szCs w:val="20"/>
        </w:rPr>
        <w:t>ormulate a launch strateg</w:t>
      </w:r>
      <w:r w:rsidR="004B72F5">
        <w:rPr>
          <w:rFonts w:ascii="Arial" w:hAnsi="Arial" w:cs="Arial"/>
          <w:sz w:val="20"/>
          <w:szCs w:val="20"/>
        </w:rPr>
        <w:t>y</w:t>
      </w:r>
      <w:r w:rsidR="004A7A77">
        <w:rPr>
          <w:rFonts w:ascii="Arial" w:hAnsi="Arial" w:cs="Arial"/>
          <w:sz w:val="20"/>
          <w:szCs w:val="20"/>
        </w:rPr>
        <w:t xml:space="preserve"> recommendation</w:t>
      </w:r>
      <w:r w:rsidR="004B72F5">
        <w:rPr>
          <w:rFonts w:ascii="Arial" w:hAnsi="Arial" w:cs="Arial"/>
          <w:sz w:val="20"/>
          <w:szCs w:val="20"/>
        </w:rPr>
        <w:t xml:space="preserve"> for </w:t>
      </w:r>
      <w:r>
        <w:rPr>
          <w:rFonts w:ascii="Arial" w:hAnsi="Arial" w:cs="Arial"/>
          <w:sz w:val="20"/>
          <w:szCs w:val="20"/>
        </w:rPr>
        <w:t>the launch of New Grow</w:t>
      </w:r>
      <w:r w:rsidR="00E64315">
        <w:rPr>
          <w:rFonts w:ascii="Arial" w:hAnsi="Arial" w:cs="Arial"/>
          <w:sz w:val="20"/>
          <w:szCs w:val="20"/>
        </w:rPr>
        <w:t>™</w:t>
      </w:r>
      <w:r w:rsidR="00DE424D">
        <w:rPr>
          <w:rFonts w:ascii="Arial" w:hAnsi="Arial" w:cs="Arial"/>
          <w:sz w:val="20"/>
          <w:szCs w:val="20"/>
        </w:rPr>
        <w:t>.</w:t>
      </w:r>
      <w:r w:rsidR="004B72F5">
        <w:t> </w:t>
      </w:r>
    </w:p>
    <w:p w14:paraId="7C827BCC" w14:textId="77777777" w:rsidR="004B72F5" w:rsidRDefault="00297A08" w:rsidP="004B72F5">
      <w:pPr>
        <w:pStyle w:val="NormalWeb"/>
      </w:pPr>
      <w:r>
        <w:rPr>
          <w:rFonts w:ascii="Arial" w:hAnsi="Arial" w:cs="Arial"/>
          <w:b/>
          <w:bCs/>
          <w:sz w:val="20"/>
          <w:szCs w:val="20"/>
        </w:rPr>
        <w:t>INITIAL MEETING WITH Micronutrients Canada</w:t>
      </w:r>
      <w:r w:rsidR="004B72F5">
        <w:t> </w:t>
      </w:r>
    </w:p>
    <w:p w14:paraId="34D448CE" w14:textId="77777777" w:rsidR="00E705B6" w:rsidRDefault="004B72F5" w:rsidP="004B72F5">
      <w:pPr>
        <w:pStyle w:val="NormalWeb"/>
        <w:rPr>
          <w:rFonts w:ascii="Arial" w:hAnsi="Arial" w:cs="Arial"/>
          <w:sz w:val="20"/>
          <w:szCs w:val="20"/>
        </w:rPr>
      </w:pPr>
      <w:r>
        <w:rPr>
          <w:rFonts w:ascii="Arial" w:hAnsi="Arial" w:cs="Arial"/>
          <w:sz w:val="20"/>
          <w:szCs w:val="20"/>
        </w:rPr>
        <w:t xml:space="preserve">During the </w:t>
      </w:r>
      <w:r w:rsidR="00297A08">
        <w:rPr>
          <w:rFonts w:ascii="Arial" w:hAnsi="Arial" w:cs="Arial"/>
          <w:sz w:val="20"/>
          <w:szCs w:val="20"/>
        </w:rPr>
        <w:t>initial meeting between Micronutrients Canada and the group of students at Sheridan College</w:t>
      </w:r>
      <w:r>
        <w:rPr>
          <w:rFonts w:ascii="Arial" w:hAnsi="Arial" w:cs="Arial"/>
          <w:sz w:val="20"/>
          <w:szCs w:val="20"/>
        </w:rPr>
        <w:t>, the engineers outlined the product and its potential benefits. The product was very similar in appearance to most brands of common l</w:t>
      </w:r>
      <w:r w:rsidR="00297A08">
        <w:rPr>
          <w:rFonts w:ascii="Arial" w:hAnsi="Arial" w:cs="Arial"/>
          <w:sz w:val="20"/>
          <w:szCs w:val="20"/>
        </w:rPr>
        <w:t>awn fertilizer. In fact, New Grow</w:t>
      </w:r>
      <w:r w:rsidR="00E64315">
        <w:rPr>
          <w:rFonts w:ascii="Arial" w:hAnsi="Arial" w:cs="Arial"/>
          <w:sz w:val="20"/>
          <w:szCs w:val="20"/>
        </w:rPr>
        <w:t>™</w:t>
      </w:r>
      <w:r>
        <w:rPr>
          <w:rFonts w:ascii="Arial" w:hAnsi="Arial" w:cs="Arial"/>
          <w:sz w:val="20"/>
          <w:szCs w:val="20"/>
        </w:rPr>
        <w:t xml:space="preserve"> was classified as a chemical fertilizer wit</w:t>
      </w:r>
      <w:r w:rsidR="00E64315">
        <w:rPr>
          <w:rFonts w:ascii="Arial" w:hAnsi="Arial" w:cs="Arial"/>
          <w:sz w:val="20"/>
          <w:szCs w:val="20"/>
        </w:rPr>
        <w:t>h one very important difference, i</w:t>
      </w:r>
      <w:r>
        <w:rPr>
          <w:rFonts w:ascii="Arial" w:hAnsi="Arial" w:cs="Arial"/>
          <w:sz w:val="20"/>
          <w:szCs w:val="20"/>
        </w:rPr>
        <w:t>ts primary benefit was its effect on the root system of most of the common types of grasses used for lawns. The small pellets attached to roots and attracted and retained moisture. Extensive laboratory tes</w:t>
      </w:r>
      <w:r w:rsidR="00297A08">
        <w:rPr>
          <w:rFonts w:ascii="Arial" w:hAnsi="Arial" w:cs="Arial"/>
          <w:sz w:val="20"/>
          <w:szCs w:val="20"/>
        </w:rPr>
        <w:t>ting demonstrated that New Grow</w:t>
      </w:r>
      <w:r w:rsidR="00E64315">
        <w:rPr>
          <w:rFonts w:ascii="Arial" w:hAnsi="Arial" w:cs="Arial"/>
          <w:sz w:val="20"/>
          <w:szCs w:val="20"/>
        </w:rPr>
        <w:t>™</w:t>
      </w:r>
      <w:r>
        <w:rPr>
          <w:rFonts w:ascii="Arial" w:hAnsi="Arial" w:cs="Arial"/>
          <w:sz w:val="20"/>
          <w:szCs w:val="20"/>
        </w:rPr>
        <w:t xml:space="preserve"> reduced the </w:t>
      </w:r>
      <w:r w:rsidRPr="00FF49AB">
        <w:rPr>
          <w:rFonts w:ascii="Arial" w:hAnsi="Arial" w:cs="Arial"/>
          <w:sz w:val="20"/>
          <w:szCs w:val="20"/>
        </w:rPr>
        <w:t xml:space="preserve">need for manual watering on </w:t>
      </w:r>
      <w:r w:rsidR="001528AC" w:rsidRPr="00FF49AB">
        <w:rPr>
          <w:rFonts w:ascii="Arial" w:hAnsi="Arial" w:cs="Arial"/>
          <w:sz w:val="20"/>
          <w:szCs w:val="20"/>
        </w:rPr>
        <w:t>most types of grass</w:t>
      </w:r>
      <w:r w:rsidRPr="00FF49AB">
        <w:rPr>
          <w:rFonts w:ascii="Arial" w:hAnsi="Arial" w:cs="Arial"/>
          <w:sz w:val="20"/>
          <w:szCs w:val="20"/>
        </w:rPr>
        <w:t xml:space="preserve">. Obviously, such a product would have high demand. </w:t>
      </w:r>
      <w:r w:rsidR="00297A08">
        <w:rPr>
          <w:rFonts w:ascii="Arial" w:hAnsi="Arial" w:cs="Arial"/>
          <w:sz w:val="20"/>
          <w:szCs w:val="20"/>
        </w:rPr>
        <w:t>The first question that Micronutrients Canada</w:t>
      </w:r>
      <w:r w:rsidRPr="00FF49AB">
        <w:rPr>
          <w:rFonts w:ascii="Arial" w:hAnsi="Arial" w:cs="Arial"/>
          <w:sz w:val="20"/>
          <w:szCs w:val="20"/>
        </w:rPr>
        <w:t xml:space="preserve"> needed addressed was what market to target, in</w:t>
      </w:r>
      <w:r w:rsidR="00297A08">
        <w:rPr>
          <w:rFonts w:ascii="Arial" w:hAnsi="Arial" w:cs="Arial"/>
          <w:sz w:val="20"/>
          <w:szCs w:val="20"/>
        </w:rPr>
        <w:t>itially, with this product. John Millis, CEO of Micronutrients</w:t>
      </w:r>
      <w:r w:rsidRPr="00FF49AB">
        <w:rPr>
          <w:rFonts w:ascii="Arial" w:hAnsi="Arial" w:cs="Arial"/>
          <w:sz w:val="20"/>
          <w:szCs w:val="20"/>
        </w:rPr>
        <w:t>, wanted to target the consumer lawn and garden market as the</w:t>
      </w:r>
      <w:r w:rsidR="00297A08">
        <w:rPr>
          <w:rFonts w:ascii="Arial" w:hAnsi="Arial" w:cs="Arial"/>
          <w:sz w:val="20"/>
          <w:szCs w:val="20"/>
        </w:rPr>
        <w:t>ir initial target segment. Brenda Smith</w:t>
      </w:r>
      <w:r w:rsidRPr="00FF49AB">
        <w:rPr>
          <w:rFonts w:ascii="Arial" w:hAnsi="Arial" w:cs="Arial"/>
          <w:sz w:val="20"/>
          <w:szCs w:val="20"/>
        </w:rPr>
        <w:t>, on the other hand, was more inclined to tar</w:t>
      </w:r>
      <w:r w:rsidR="001528AC" w:rsidRPr="00FF49AB">
        <w:rPr>
          <w:rFonts w:ascii="Arial" w:hAnsi="Arial" w:cs="Arial"/>
          <w:sz w:val="20"/>
          <w:szCs w:val="20"/>
        </w:rPr>
        <w:t>get the commercial lawn and gar</w:t>
      </w:r>
      <w:r w:rsidRPr="00FF49AB">
        <w:rPr>
          <w:rFonts w:ascii="Arial" w:hAnsi="Arial" w:cs="Arial"/>
          <w:sz w:val="20"/>
          <w:szCs w:val="20"/>
        </w:rPr>
        <w:t xml:space="preserve">den market. </w:t>
      </w:r>
    </w:p>
    <w:p w14:paraId="4EF9DEE0" w14:textId="77777777" w:rsidR="004B72F5" w:rsidRDefault="004B72F5" w:rsidP="004B72F5">
      <w:pPr>
        <w:pStyle w:val="NormalWeb"/>
      </w:pPr>
      <w:r w:rsidRPr="00FF49AB">
        <w:rPr>
          <w:rFonts w:ascii="Arial" w:hAnsi="Arial" w:cs="Arial"/>
          <w:sz w:val="20"/>
          <w:szCs w:val="20"/>
        </w:rPr>
        <w:t>Since these two markets required very different launch strategies, selecting the appropriate se</w:t>
      </w:r>
      <w:r w:rsidR="00046F42" w:rsidRPr="00FF49AB">
        <w:rPr>
          <w:rFonts w:ascii="Arial" w:hAnsi="Arial" w:cs="Arial"/>
          <w:sz w:val="20"/>
          <w:szCs w:val="20"/>
        </w:rPr>
        <w:t>gment</w:t>
      </w:r>
      <w:r w:rsidRPr="00FF49AB">
        <w:rPr>
          <w:rFonts w:ascii="Arial" w:hAnsi="Arial" w:cs="Arial"/>
          <w:sz w:val="20"/>
          <w:szCs w:val="20"/>
        </w:rPr>
        <w:t xml:space="preserve"> was the primary</w:t>
      </w:r>
      <w:r>
        <w:rPr>
          <w:rFonts w:ascii="Arial" w:hAnsi="Arial" w:cs="Arial"/>
          <w:sz w:val="20"/>
          <w:szCs w:val="20"/>
        </w:rPr>
        <w:t xml:space="preserve"> concern. And,</w:t>
      </w:r>
      <w:r w:rsidR="00E705B6">
        <w:rPr>
          <w:rFonts w:ascii="Arial" w:hAnsi="Arial" w:cs="Arial"/>
          <w:sz w:val="20"/>
          <w:szCs w:val="20"/>
        </w:rPr>
        <w:t xml:space="preserve"> due to the fact that both Mr. Millis and Ms. Smith</w:t>
      </w:r>
      <w:r>
        <w:rPr>
          <w:rFonts w:ascii="Arial" w:hAnsi="Arial" w:cs="Arial"/>
          <w:sz w:val="20"/>
          <w:szCs w:val="20"/>
        </w:rPr>
        <w:t xml:space="preserve"> were extremely biased towards</w:t>
      </w:r>
      <w:r w:rsidR="00E705B6">
        <w:rPr>
          <w:rFonts w:ascii="Arial" w:hAnsi="Arial" w:cs="Arial"/>
          <w:sz w:val="20"/>
          <w:szCs w:val="20"/>
        </w:rPr>
        <w:t xml:space="preserve"> their position, the students</w:t>
      </w:r>
      <w:r>
        <w:rPr>
          <w:rFonts w:ascii="Arial" w:hAnsi="Arial" w:cs="Arial"/>
          <w:sz w:val="20"/>
          <w:szCs w:val="20"/>
        </w:rPr>
        <w:t xml:space="preserve"> knew that they would have to present strong reasons to suppo</w:t>
      </w:r>
      <w:r w:rsidR="00E705B6">
        <w:rPr>
          <w:rFonts w:ascii="Arial" w:hAnsi="Arial" w:cs="Arial"/>
          <w:sz w:val="20"/>
          <w:szCs w:val="20"/>
        </w:rPr>
        <w:t xml:space="preserve">rt their recommendation. </w:t>
      </w:r>
    </w:p>
    <w:p w14:paraId="62E8219F" w14:textId="77777777" w:rsidR="004B72F5" w:rsidRDefault="004B72F5" w:rsidP="004B72F5">
      <w:pPr>
        <w:pStyle w:val="NormalWeb"/>
      </w:pPr>
      <w:r>
        <w:rPr>
          <w:rFonts w:ascii="Arial" w:hAnsi="Arial" w:cs="Arial"/>
          <w:b/>
          <w:bCs/>
          <w:sz w:val="20"/>
          <w:szCs w:val="20"/>
        </w:rPr>
        <w:t>THE CONSUMER MARKET</w:t>
      </w:r>
      <w:r>
        <w:t> </w:t>
      </w:r>
    </w:p>
    <w:p w14:paraId="7E5EC054" w14:textId="77777777" w:rsidR="00C771C4" w:rsidRDefault="003C07A1" w:rsidP="004B72F5">
      <w:pPr>
        <w:pStyle w:val="NormalWeb"/>
        <w:rPr>
          <w:rFonts w:ascii="Arial" w:hAnsi="Arial" w:cs="Arial"/>
          <w:sz w:val="20"/>
          <w:szCs w:val="20"/>
        </w:rPr>
      </w:pPr>
      <w:r>
        <w:rPr>
          <w:rFonts w:ascii="Arial" w:hAnsi="Arial" w:cs="Arial"/>
          <w:sz w:val="20"/>
          <w:szCs w:val="20"/>
        </w:rPr>
        <w:t>In 2018</w:t>
      </w:r>
      <w:r w:rsidR="00B0542E">
        <w:rPr>
          <w:rFonts w:ascii="Arial" w:hAnsi="Arial" w:cs="Arial"/>
          <w:sz w:val="20"/>
          <w:szCs w:val="20"/>
        </w:rPr>
        <w:t xml:space="preserve">, </w:t>
      </w:r>
      <w:r w:rsidR="00B665B5">
        <w:rPr>
          <w:rFonts w:ascii="Arial" w:hAnsi="Arial" w:cs="Arial"/>
          <w:sz w:val="20"/>
          <w:szCs w:val="20"/>
        </w:rPr>
        <w:t>Canadians spent approximately $4</w:t>
      </w:r>
      <w:r w:rsidR="004B72F5">
        <w:rPr>
          <w:rFonts w:ascii="Arial" w:hAnsi="Arial" w:cs="Arial"/>
          <w:sz w:val="20"/>
          <w:szCs w:val="20"/>
        </w:rPr>
        <w:t>.3 billion, at the retail level, on gardening. This figure includes $</w:t>
      </w:r>
      <w:r w:rsidR="00B0542E">
        <w:rPr>
          <w:rFonts w:ascii="Arial" w:hAnsi="Arial" w:cs="Arial"/>
          <w:sz w:val="20"/>
          <w:szCs w:val="20"/>
        </w:rPr>
        <w:t>533</w:t>
      </w:r>
      <w:r w:rsidR="004B72F5">
        <w:rPr>
          <w:rFonts w:ascii="Arial" w:hAnsi="Arial" w:cs="Arial"/>
          <w:sz w:val="20"/>
          <w:szCs w:val="20"/>
        </w:rPr>
        <w:t xml:space="preserve"> million for grass (both sod and seed), t</w:t>
      </w:r>
      <w:r w:rsidR="00B0542E">
        <w:rPr>
          <w:rFonts w:ascii="Arial" w:hAnsi="Arial" w:cs="Arial"/>
          <w:sz w:val="20"/>
          <w:szCs w:val="20"/>
        </w:rPr>
        <w:t>rees, and plants; $</w:t>
      </w:r>
      <w:r w:rsidR="00B665B5">
        <w:rPr>
          <w:rFonts w:ascii="Arial" w:hAnsi="Arial" w:cs="Arial"/>
          <w:sz w:val="20"/>
          <w:szCs w:val="20"/>
        </w:rPr>
        <w:t>3.3 billion</w:t>
      </w:r>
      <w:r w:rsidR="004B72F5">
        <w:rPr>
          <w:rFonts w:ascii="Arial" w:hAnsi="Arial" w:cs="Arial"/>
          <w:sz w:val="20"/>
          <w:szCs w:val="20"/>
        </w:rPr>
        <w:t xml:space="preserve"> on lawn maintenance (with fertilizers accounting</w:t>
      </w:r>
      <w:r w:rsidR="00C771C4">
        <w:rPr>
          <w:rFonts w:ascii="Arial" w:hAnsi="Arial" w:cs="Arial"/>
          <w:sz w:val="20"/>
          <w:szCs w:val="20"/>
        </w:rPr>
        <w:t xml:space="preserve"> for 6</w:t>
      </w:r>
      <w:r w:rsidR="00B665B5">
        <w:rPr>
          <w:rFonts w:ascii="Arial" w:hAnsi="Arial" w:cs="Arial"/>
          <w:sz w:val="20"/>
          <w:szCs w:val="20"/>
        </w:rPr>
        <w:t>2% of the total); and the rest on</w:t>
      </w:r>
      <w:r w:rsidR="004B72F5">
        <w:rPr>
          <w:rFonts w:ascii="Arial" w:hAnsi="Arial" w:cs="Arial"/>
          <w:sz w:val="20"/>
          <w:szCs w:val="20"/>
        </w:rPr>
        <w:t xml:space="preserve"> hand tools, pots, window boxes, books, magazines, landscaping services, etc. In other words, gardening is big business in </w:t>
      </w:r>
      <w:smartTag w:uri="urn:schemas-microsoft-com:office:smarttags" w:element="country-region">
        <w:smartTag w:uri="urn:schemas-microsoft-com:office:smarttags" w:element="place">
          <w:r w:rsidR="004B72F5">
            <w:rPr>
              <w:rFonts w:ascii="Arial" w:hAnsi="Arial" w:cs="Arial"/>
              <w:sz w:val="20"/>
              <w:szCs w:val="20"/>
            </w:rPr>
            <w:t>Canada</w:t>
          </w:r>
        </w:smartTag>
      </w:smartTag>
      <w:r w:rsidR="004B72F5">
        <w:rPr>
          <w:rFonts w:ascii="Arial" w:hAnsi="Arial" w:cs="Arial"/>
          <w:sz w:val="20"/>
          <w:szCs w:val="20"/>
        </w:rPr>
        <w:t>. Lawn care is, however, a highly seasonal business, with 70% of sales occurring in the 2nd and 3rd fiscal quarters (i.e., April to September).</w:t>
      </w:r>
      <w:r w:rsidR="00C771C4">
        <w:rPr>
          <w:rFonts w:ascii="Arial" w:hAnsi="Arial" w:cs="Arial"/>
          <w:sz w:val="20"/>
          <w:szCs w:val="20"/>
        </w:rPr>
        <w:t xml:space="preserve">  This market is anticipated to grow by 4% per year as farm land continues to get converted to residential properties as the demand for housing continues to grow throughout Canada.</w:t>
      </w:r>
    </w:p>
    <w:p w14:paraId="1405421E" w14:textId="77777777" w:rsidR="004B72F5" w:rsidRDefault="005E51EF" w:rsidP="004B72F5">
      <w:pPr>
        <w:pStyle w:val="NormalWeb"/>
      </w:pPr>
      <w:r>
        <w:rPr>
          <w:rFonts w:ascii="Arial" w:hAnsi="Arial" w:cs="Arial"/>
          <w:sz w:val="20"/>
          <w:szCs w:val="20"/>
        </w:rPr>
        <w:t>If Micronutrients</w:t>
      </w:r>
      <w:r w:rsidR="004B72F5">
        <w:rPr>
          <w:rFonts w:ascii="Arial" w:hAnsi="Arial" w:cs="Arial"/>
          <w:sz w:val="20"/>
          <w:szCs w:val="20"/>
        </w:rPr>
        <w:t xml:space="preserve"> was to target this segment, they would be competing primarily with fertilizers. The consumer fertilizer market is extremely competitive, with the top</w:t>
      </w:r>
      <w:r w:rsidR="002359CA">
        <w:rPr>
          <w:rFonts w:ascii="Arial" w:hAnsi="Arial" w:cs="Arial"/>
          <w:sz w:val="20"/>
          <w:szCs w:val="20"/>
        </w:rPr>
        <w:t xml:space="preserve"> two firms, Scotts Co. and Premier Tech Home and Garden</w:t>
      </w:r>
      <w:r w:rsidR="00B665B5">
        <w:rPr>
          <w:rFonts w:ascii="Arial" w:hAnsi="Arial" w:cs="Arial"/>
          <w:sz w:val="20"/>
          <w:szCs w:val="20"/>
        </w:rPr>
        <w:t>, controlling approxi</w:t>
      </w:r>
      <w:r>
        <w:rPr>
          <w:rFonts w:ascii="Arial" w:hAnsi="Arial" w:cs="Arial"/>
          <w:sz w:val="20"/>
          <w:szCs w:val="20"/>
        </w:rPr>
        <w:t>mately 7</w:t>
      </w:r>
      <w:r w:rsidR="00B665B5">
        <w:rPr>
          <w:rFonts w:ascii="Arial" w:hAnsi="Arial" w:cs="Arial"/>
          <w:sz w:val="20"/>
          <w:szCs w:val="20"/>
        </w:rPr>
        <w:t>0</w:t>
      </w:r>
      <w:r w:rsidR="004B72F5">
        <w:rPr>
          <w:rFonts w:ascii="Arial" w:hAnsi="Arial" w:cs="Arial"/>
          <w:sz w:val="20"/>
          <w:szCs w:val="20"/>
        </w:rPr>
        <w:t xml:space="preserve">% of the total consumer market. Both firms are headquartered in the </w:t>
      </w:r>
      <w:smartTag w:uri="urn:schemas-microsoft-com:office:smarttags" w:element="country-region">
        <w:r w:rsidR="004B72F5">
          <w:rPr>
            <w:rFonts w:ascii="Arial" w:hAnsi="Arial" w:cs="Arial"/>
            <w:sz w:val="20"/>
            <w:szCs w:val="20"/>
          </w:rPr>
          <w:t>US</w:t>
        </w:r>
      </w:smartTag>
      <w:r w:rsidR="004B72F5">
        <w:rPr>
          <w:rFonts w:ascii="Arial" w:hAnsi="Arial" w:cs="Arial"/>
          <w:sz w:val="20"/>
          <w:szCs w:val="20"/>
        </w:rPr>
        <w:t xml:space="preserve"> (with divisional offices in </w:t>
      </w:r>
      <w:smartTag w:uri="urn:schemas-microsoft-com:office:smarttags" w:element="country-region">
        <w:smartTag w:uri="urn:schemas-microsoft-com:office:smarttags" w:element="place">
          <w:r w:rsidR="004B72F5">
            <w:rPr>
              <w:rFonts w:ascii="Arial" w:hAnsi="Arial" w:cs="Arial"/>
              <w:sz w:val="20"/>
              <w:szCs w:val="20"/>
            </w:rPr>
            <w:t>Canada</w:t>
          </w:r>
        </w:smartTag>
      </w:smartTag>
      <w:r w:rsidR="004B72F5">
        <w:rPr>
          <w:rFonts w:ascii="Arial" w:hAnsi="Arial" w:cs="Arial"/>
          <w:sz w:val="20"/>
          <w:szCs w:val="20"/>
        </w:rPr>
        <w:t>), and both have extensive international operations. The market share leader is Scotts Co., with their two powerful brands, Turf Builder and M</w:t>
      </w:r>
      <w:r>
        <w:rPr>
          <w:rFonts w:ascii="Arial" w:hAnsi="Arial" w:cs="Arial"/>
          <w:sz w:val="20"/>
          <w:szCs w:val="20"/>
        </w:rPr>
        <w:t>iracle-Gro.</w:t>
      </w:r>
      <w:r w:rsidR="004B72F5">
        <w:rPr>
          <w:rFonts w:ascii="Arial" w:hAnsi="Arial" w:cs="Arial"/>
          <w:sz w:val="20"/>
          <w:szCs w:val="20"/>
        </w:rPr>
        <w:t xml:space="preserve"> Turf Builder is a slow- release fertilizer that reduces the number of applications required for a healthy lawn. This slow-release technology is relatively new—having been available to the consumer market for less than two years. Slow-release simply means that the fertilizing chemicals are released gradually over a number of months. Thus one application of slow-release fertilizer could</w:t>
      </w:r>
      <w:r w:rsidR="00B665B5">
        <w:rPr>
          <w:rFonts w:ascii="Arial" w:hAnsi="Arial" w:cs="Arial"/>
          <w:sz w:val="20"/>
          <w:szCs w:val="20"/>
        </w:rPr>
        <w:t xml:space="preserve"> last for a maximum of 6 months</w:t>
      </w:r>
      <w:r w:rsidR="003E4E4D">
        <w:rPr>
          <w:rFonts w:ascii="Arial" w:hAnsi="Arial" w:cs="Arial"/>
          <w:sz w:val="20"/>
          <w:szCs w:val="20"/>
        </w:rPr>
        <w:t xml:space="preserve"> (although it is</w:t>
      </w:r>
      <w:r w:rsidR="00B665B5">
        <w:rPr>
          <w:rFonts w:ascii="Arial" w:hAnsi="Arial" w:cs="Arial"/>
          <w:sz w:val="20"/>
          <w:szCs w:val="20"/>
        </w:rPr>
        <w:t xml:space="preserve"> recommend</w:t>
      </w:r>
      <w:r w:rsidR="003E4E4D">
        <w:rPr>
          <w:rFonts w:ascii="Arial" w:hAnsi="Arial" w:cs="Arial"/>
          <w:sz w:val="20"/>
          <w:szCs w:val="20"/>
        </w:rPr>
        <w:t>ed</w:t>
      </w:r>
      <w:r w:rsidR="00B665B5">
        <w:rPr>
          <w:rFonts w:ascii="Arial" w:hAnsi="Arial" w:cs="Arial"/>
          <w:sz w:val="20"/>
          <w:szCs w:val="20"/>
        </w:rPr>
        <w:t xml:space="preserve"> </w:t>
      </w:r>
      <w:r w:rsidR="003E4E4D">
        <w:rPr>
          <w:rFonts w:ascii="Arial" w:hAnsi="Arial" w:cs="Arial"/>
          <w:sz w:val="20"/>
          <w:szCs w:val="20"/>
        </w:rPr>
        <w:t xml:space="preserve">that </w:t>
      </w:r>
      <w:r w:rsidR="00B665B5">
        <w:rPr>
          <w:rFonts w:ascii="Arial" w:hAnsi="Arial" w:cs="Arial"/>
          <w:sz w:val="20"/>
          <w:szCs w:val="20"/>
        </w:rPr>
        <w:t xml:space="preserve">applications </w:t>
      </w:r>
      <w:r w:rsidR="003E4E4D">
        <w:rPr>
          <w:rFonts w:ascii="Arial" w:hAnsi="Arial" w:cs="Arial"/>
          <w:sz w:val="20"/>
          <w:szCs w:val="20"/>
        </w:rPr>
        <w:t xml:space="preserve">are made </w:t>
      </w:r>
      <w:r w:rsidR="00B665B5">
        <w:rPr>
          <w:rFonts w:ascii="Arial" w:hAnsi="Arial" w:cs="Arial"/>
          <w:sz w:val="20"/>
          <w:szCs w:val="20"/>
        </w:rPr>
        <w:t xml:space="preserve">twice a </w:t>
      </w:r>
      <w:r w:rsidR="004B72F5">
        <w:rPr>
          <w:rFonts w:ascii="Arial" w:hAnsi="Arial" w:cs="Arial"/>
          <w:sz w:val="20"/>
          <w:szCs w:val="20"/>
        </w:rPr>
        <w:t>year).</w:t>
      </w:r>
      <w:r w:rsidR="004B72F5">
        <w:t> </w:t>
      </w:r>
    </w:p>
    <w:p w14:paraId="28C62615" w14:textId="77777777" w:rsidR="004B72F5" w:rsidRDefault="004B72F5" w:rsidP="004B72F5">
      <w:pPr>
        <w:pStyle w:val="NormalWeb"/>
      </w:pPr>
      <w:r>
        <w:rPr>
          <w:rFonts w:ascii="Arial" w:hAnsi="Arial" w:cs="Arial"/>
          <w:sz w:val="20"/>
          <w:szCs w:val="20"/>
        </w:rPr>
        <w:t>Turf Builder is priced slightly lower than most Miracle-Gro products, which are advertised as maximum growth products, and not specifically (i.e., exclusiv</w:t>
      </w:r>
      <w:r w:rsidR="005E51EF">
        <w:rPr>
          <w:rFonts w:ascii="Arial" w:hAnsi="Arial" w:cs="Arial"/>
          <w:sz w:val="20"/>
          <w:szCs w:val="20"/>
        </w:rPr>
        <w:t xml:space="preserve">ely) aimed at lawn care. </w:t>
      </w:r>
      <w:r w:rsidR="002359CA">
        <w:rPr>
          <w:rFonts w:ascii="Arial" w:hAnsi="Arial" w:cs="Arial"/>
          <w:sz w:val="20"/>
          <w:szCs w:val="20"/>
        </w:rPr>
        <w:t xml:space="preserve">Premier Tech Home and Garden’s main brand, </w:t>
      </w:r>
      <w:r w:rsidR="005E51EF">
        <w:rPr>
          <w:rFonts w:ascii="Arial" w:hAnsi="Arial" w:cs="Arial"/>
          <w:sz w:val="20"/>
          <w:szCs w:val="20"/>
        </w:rPr>
        <w:t>CIL</w:t>
      </w:r>
      <w:r w:rsidR="002359CA">
        <w:rPr>
          <w:rFonts w:ascii="Arial" w:hAnsi="Arial" w:cs="Arial"/>
          <w:sz w:val="20"/>
          <w:szCs w:val="20"/>
        </w:rPr>
        <w:t xml:space="preserve">, </w:t>
      </w:r>
      <w:r w:rsidR="00B9688F">
        <w:rPr>
          <w:rFonts w:ascii="Arial" w:hAnsi="Arial" w:cs="Arial"/>
          <w:sz w:val="20"/>
          <w:szCs w:val="20"/>
        </w:rPr>
        <w:t>is</w:t>
      </w:r>
      <w:r>
        <w:rPr>
          <w:rFonts w:ascii="Arial" w:hAnsi="Arial" w:cs="Arial"/>
          <w:sz w:val="20"/>
          <w:szCs w:val="20"/>
        </w:rPr>
        <w:t xml:space="preserve"> priced competitivel</w:t>
      </w:r>
      <w:r w:rsidR="00B9688F">
        <w:rPr>
          <w:rFonts w:ascii="Arial" w:hAnsi="Arial" w:cs="Arial"/>
          <w:sz w:val="20"/>
          <w:szCs w:val="20"/>
        </w:rPr>
        <w:t xml:space="preserve">y with Turf Builder. </w:t>
      </w:r>
      <w:r w:rsidR="002359CA">
        <w:rPr>
          <w:rFonts w:ascii="Arial" w:hAnsi="Arial" w:cs="Arial"/>
          <w:sz w:val="20"/>
          <w:szCs w:val="20"/>
        </w:rPr>
        <w:t xml:space="preserve"> See Exhibit 1</w:t>
      </w:r>
      <w:r>
        <w:rPr>
          <w:rFonts w:ascii="Arial" w:hAnsi="Arial" w:cs="Arial"/>
          <w:sz w:val="20"/>
          <w:szCs w:val="20"/>
        </w:rPr>
        <w:t xml:space="preserve"> for pricing information on the major branded fertilizer products.</w:t>
      </w:r>
      <w:r>
        <w:t> </w:t>
      </w:r>
    </w:p>
    <w:p w14:paraId="54AFBB69" w14:textId="77777777" w:rsidR="004B72F5" w:rsidRDefault="004B72F5" w:rsidP="004B72F5">
      <w:pPr>
        <w:pStyle w:val="NormalWeb"/>
      </w:pPr>
      <w:r>
        <w:rPr>
          <w:rFonts w:ascii="Arial" w:hAnsi="Arial" w:cs="Arial"/>
          <w:sz w:val="20"/>
          <w:szCs w:val="20"/>
        </w:rPr>
        <w:t>Mar</w:t>
      </w:r>
      <w:r w:rsidR="00B665B5">
        <w:rPr>
          <w:rFonts w:ascii="Arial" w:hAnsi="Arial" w:cs="Arial"/>
          <w:sz w:val="20"/>
          <w:szCs w:val="20"/>
        </w:rPr>
        <w:t>ket research has shown that seven</w:t>
      </w:r>
      <w:r>
        <w:rPr>
          <w:rFonts w:ascii="Arial" w:hAnsi="Arial" w:cs="Arial"/>
          <w:sz w:val="20"/>
          <w:szCs w:val="20"/>
        </w:rPr>
        <w:t xml:space="preserve"> out of</w:t>
      </w:r>
      <w:r w:rsidR="00B0542E">
        <w:rPr>
          <w:rFonts w:ascii="Arial" w:hAnsi="Arial" w:cs="Arial"/>
          <w:sz w:val="20"/>
          <w:szCs w:val="20"/>
        </w:rPr>
        <w:t xml:space="preserve"> </w:t>
      </w:r>
      <w:r>
        <w:rPr>
          <w:rFonts w:ascii="Arial" w:hAnsi="Arial" w:cs="Arial"/>
          <w:sz w:val="20"/>
          <w:szCs w:val="20"/>
        </w:rPr>
        <w:t>ten consumers in this market have no concrete brand preferences. They rely heavily on in-store advertisements and sales staff for information and recommendations.</w:t>
      </w:r>
      <w:r w:rsidR="003E4E4D">
        <w:rPr>
          <w:rFonts w:ascii="Arial" w:hAnsi="Arial" w:cs="Arial"/>
          <w:sz w:val="20"/>
          <w:szCs w:val="20"/>
        </w:rPr>
        <w:t xml:space="preserve">  Which meant</w:t>
      </w:r>
      <w:r w:rsidR="00B665B5">
        <w:rPr>
          <w:rFonts w:ascii="Arial" w:hAnsi="Arial" w:cs="Arial"/>
          <w:sz w:val="20"/>
          <w:szCs w:val="20"/>
        </w:rPr>
        <w:t xml:space="preserve"> that 3</w:t>
      </w:r>
      <w:r w:rsidR="00B0542E">
        <w:rPr>
          <w:rFonts w:ascii="Arial" w:hAnsi="Arial" w:cs="Arial"/>
          <w:sz w:val="20"/>
          <w:szCs w:val="20"/>
        </w:rPr>
        <w:t xml:space="preserve"> out of 10 consumers are extremely loyal to existing brands and would be very unlikely to switch to a new product no matter how good it was.  </w:t>
      </w:r>
      <w:r>
        <w:rPr>
          <w:rFonts w:ascii="Arial" w:hAnsi="Arial" w:cs="Arial"/>
          <w:sz w:val="20"/>
          <w:szCs w:val="20"/>
        </w:rPr>
        <w:t xml:space="preserve">The product with the highest brand name awareness is Miracle-Gro; however, most associate this brand </w:t>
      </w:r>
      <w:r>
        <w:rPr>
          <w:rFonts w:ascii="Arial" w:hAnsi="Arial" w:cs="Arial"/>
          <w:sz w:val="20"/>
          <w:szCs w:val="20"/>
        </w:rPr>
        <w:lastRenderedPageBreak/>
        <w:t xml:space="preserve">name with their plant foods rather than their lawn fertilizers. Because of consumer behaviour and attitude towards this product category, most manufacturers relied on a strong push </w:t>
      </w:r>
      <w:r w:rsidR="00B0542E">
        <w:rPr>
          <w:rFonts w:ascii="Arial" w:hAnsi="Arial" w:cs="Arial"/>
          <w:sz w:val="20"/>
          <w:szCs w:val="20"/>
        </w:rPr>
        <w:t xml:space="preserve">and pull </w:t>
      </w:r>
      <w:r>
        <w:rPr>
          <w:rFonts w:ascii="Arial" w:hAnsi="Arial" w:cs="Arial"/>
          <w:sz w:val="20"/>
          <w:szCs w:val="20"/>
        </w:rPr>
        <w:t>strategy.</w:t>
      </w:r>
      <w:r>
        <w:t> </w:t>
      </w:r>
    </w:p>
    <w:p w14:paraId="74B5856E" w14:textId="77777777" w:rsidR="004B72F5" w:rsidRDefault="002359CA" w:rsidP="004B72F5">
      <w:pPr>
        <w:pStyle w:val="NormalWeb"/>
      </w:pPr>
      <w:r>
        <w:rPr>
          <w:rFonts w:ascii="Arial" w:hAnsi="Arial" w:cs="Arial"/>
          <w:b/>
          <w:bCs/>
          <w:sz w:val="20"/>
          <w:szCs w:val="20"/>
        </w:rPr>
        <w:t>EXHIBIT 1</w:t>
      </w:r>
    </w:p>
    <w:p w14:paraId="72CCC871" w14:textId="77777777" w:rsidR="004B72F5" w:rsidRDefault="004B72F5" w:rsidP="004B72F5">
      <w:pPr>
        <w:pStyle w:val="NormalWeb"/>
      </w:pPr>
      <w:r>
        <w:rPr>
          <w:rFonts w:ascii="Arial" w:hAnsi="Arial" w:cs="Arial"/>
          <w:sz w:val="20"/>
          <w:szCs w:val="20"/>
        </w:rPr>
        <w:t>Competitor Prices for the Consumer Market</w:t>
      </w:r>
    </w:p>
    <w:tbl>
      <w:tblPr>
        <w:tblW w:w="4530" w:type="dxa"/>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2406"/>
        <w:gridCol w:w="1015"/>
        <w:gridCol w:w="1109"/>
      </w:tblGrid>
      <w:tr w:rsidR="004B72F5" w14:paraId="37051DC8" w14:textId="77777777" w:rsidTr="004B72F5">
        <w:trPr>
          <w:tblCellSpacing w:w="0" w:type="dxa"/>
        </w:trPr>
        <w:tc>
          <w:tcPr>
            <w:tcW w:w="1695" w:type="dxa"/>
            <w:tcBorders>
              <w:top w:val="outset" w:sz="6" w:space="0" w:color="auto"/>
              <w:left w:val="outset" w:sz="6" w:space="0" w:color="auto"/>
              <w:bottom w:val="outset" w:sz="6" w:space="0" w:color="auto"/>
              <w:right w:val="outset" w:sz="6" w:space="0" w:color="auto"/>
            </w:tcBorders>
          </w:tcPr>
          <w:p w14:paraId="35327E14" w14:textId="77777777" w:rsidR="004B72F5" w:rsidRDefault="004B72F5">
            <w:bookmarkStart w:id="0" w:name="table01"/>
            <w:bookmarkEnd w:id="0"/>
            <w:r>
              <w:t> </w:t>
            </w:r>
          </w:p>
        </w:tc>
        <w:tc>
          <w:tcPr>
            <w:tcW w:w="810" w:type="dxa"/>
            <w:tcBorders>
              <w:top w:val="outset" w:sz="6" w:space="0" w:color="auto"/>
              <w:left w:val="outset" w:sz="6" w:space="0" w:color="auto"/>
              <w:bottom w:val="outset" w:sz="6" w:space="0" w:color="auto"/>
              <w:right w:val="outset" w:sz="6" w:space="0" w:color="auto"/>
            </w:tcBorders>
          </w:tcPr>
          <w:p w14:paraId="6D1B95D0" w14:textId="77777777" w:rsidR="004B72F5" w:rsidRDefault="004B72F5">
            <w:r>
              <w:rPr>
                <w:rFonts w:ascii="Arial" w:hAnsi="Arial" w:cs="Arial"/>
                <w:sz w:val="15"/>
                <w:szCs w:val="15"/>
              </w:rPr>
              <w:t>Size(s)</w:t>
            </w:r>
          </w:p>
        </w:tc>
        <w:tc>
          <w:tcPr>
            <w:tcW w:w="885" w:type="dxa"/>
            <w:tcBorders>
              <w:top w:val="outset" w:sz="6" w:space="0" w:color="auto"/>
              <w:left w:val="outset" w:sz="6" w:space="0" w:color="auto"/>
              <w:bottom w:val="outset" w:sz="6" w:space="0" w:color="auto"/>
              <w:right w:val="outset" w:sz="6" w:space="0" w:color="auto"/>
            </w:tcBorders>
          </w:tcPr>
          <w:p w14:paraId="564F3084" w14:textId="77777777" w:rsidR="004B72F5" w:rsidRDefault="00F33FDD">
            <w:r>
              <w:rPr>
                <w:rFonts w:ascii="Arial" w:hAnsi="Arial" w:cs="Arial"/>
                <w:sz w:val="15"/>
                <w:szCs w:val="15"/>
              </w:rPr>
              <w:t>Retail Prices</w:t>
            </w:r>
          </w:p>
        </w:tc>
      </w:tr>
      <w:tr w:rsidR="004B72F5" w14:paraId="61071D77"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5A5455B9" w14:textId="77777777" w:rsidR="004B72F5" w:rsidRDefault="004B72F5">
            <w:r>
              <w:t> </w:t>
            </w:r>
          </w:p>
        </w:tc>
        <w:tc>
          <w:tcPr>
            <w:tcW w:w="0" w:type="auto"/>
            <w:tcBorders>
              <w:top w:val="outset" w:sz="6" w:space="0" w:color="auto"/>
              <w:left w:val="outset" w:sz="6" w:space="0" w:color="auto"/>
              <w:bottom w:val="outset" w:sz="6" w:space="0" w:color="auto"/>
              <w:right w:val="outset" w:sz="6" w:space="0" w:color="auto"/>
            </w:tcBorders>
          </w:tcPr>
          <w:p w14:paraId="706992C4" w14:textId="77777777" w:rsidR="004B72F5" w:rsidRDefault="004B72F5">
            <w:r>
              <w:t> </w:t>
            </w:r>
          </w:p>
        </w:tc>
        <w:tc>
          <w:tcPr>
            <w:tcW w:w="0" w:type="auto"/>
            <w:tcBorders>
              <w:top w:val="outset" w:sz="6" w:space="0" w:color="auto"/>
              <w:left w:val="outset" w:sz="6" w:space="0" w:color="auto"/>
              <w:bottom w:val="outset" w:sz="6" w:space="0" w:color="auto"/>
              <w:right w:val="outset" w:sz="6" w:space="0" w:color="auto"/>
            </w:tcBorders>
          </w:tcPr>
          <w:p w14:paraId="1D304D03" w14:textId="77777777" w:rsidR="004B72F5" w:rsidRDefault="004B72F5">
            <w:r>
              <w:t> </w:t>
            </w:r>
          </w:p>
        </w:tc>
      </w:tr>
      <w:tr w:rsidR="004B72F5" w14:paraId="4DE0DCBF"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690252F7" w14:textId="77777777" w:rsidR="004B72F5" w:rsidRDefault="004B72F5">
            <w:r>
              <w:rPr>
                <w:rFonts w:ascii="Arial" w:hAnsi="Arial" w:cs="Arial"/>
                <w:sz w:val="15"/>
                <w:szCs w:val="15"/>
              </w:rPr>
              <w:t>Turf Builder</w:t>
            </w:r>
          </w:p>
        </w:tc>
        <w:tc>
          <w:tcPr>
            <w:tcW w:w="0" w:type="auto"/>
            <w:tcBorders>
              <w:top w:val="outset" w:sz="6" w:space="0" w:color="auto"/>
              <w:left w:val="outset" w:sz="6" w:space="0" w:color="auto"/>
              <w:bottom w:val="outset" w:sz="6" w:space="0" w:color="auto"/>
              <w:right w:val="outset" w:sz="6" w:space="0" w:color="auto"/>
            </w:tcBorders>
          </w:tcPr>
          <w:p w14:paraId="1935CDC9" w14:textId="77777777" w:rsidR="004B72F5" w:rsidRDefault="004B72F5">
            <w:r>
              <w:rPr>
                <w:rFonts w:ascii="Arial" w:hAnsi="Arial" w:cs="Arial"/>
                <w:sz w:val="15"/>
                <w:szCs w:val="15"/>
              </w:rPr>
              <w:t>10 kg</w:t>
            </w:r>
          </w:p>
        </w:tc>
        <w:tc>
          <w:tcPr>
            <w:tcW w:w="0" w:type="auto"/>
            <w:tcBorders>
              <w:top w:val="outset" w:sz="6" w:space="0" w:color="auto"/>
              <w:left w:val="outset" w:sz="6" w:space="0" w:color="auto"/>
              <w:bottom w:val="outset" w:sz="6" w:space="0" w:color="auto"/>
              <w:right w:val="outset" w:sz="6" w:space="0" w:color="auto"/>
            </w:tcBorders>
          </w:tcPr>
          <w:p w14:paraId="40245BC1" w14:textId="77777777" w:rsidR="004B72F5" w:rsidRDefault="00B9688F">
            <w:r>
              <w:rPr>
                <w:rFonts w:ascii="Arial" w:hAnsi="Arial" w:cs="Arial"/>
                <w:sz w:val="15"/>
                <w:szCs w:val="15"/>
              </w:rPr>
              <w:t>$24.49</w:t>
            </w:r>
          </w:p>
        </w:tc>
      </w:tr>
      <w:tr w:rsidR="004B72F5" w14:paraId="5467D447"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468158DD" w14:textId="77777777" w:rsidR="004B72F5" w:rsidRDefault="004B72F5">
            <w:r>
              <w:rPr>
                <w:rFonts w:ascii="Arial" w:hAnsi="Arial" w:cs="Arial"/>
                <w:sz w:val="15"/>
                <w:szCs w:val="15"/>
              </w:rPr>
              <w:t>Turf Builder</w:t>
            </w:r>
          </w:p>
        </w:tc>
        <w:tc>
          <w:tcPr>
            <w:tcW w:w="0" w:type="auto"/>
            <w:tcBorders>
              <w:top w:val="outset" w:sz="6" w:space="0" w:color="auto"/>
              <w:left w:val="outset" w:sz="6" w:space="0" w:color="auto"/>
              <w:bottom w:val="outset" w:sz="6" w:space="0" w:color="auto"/>
              <w:right w:val="outset" w:sz="6" w:space="0" w:color="auto"/>
            </w:tcBorders>
          </w:tcPr>
          <w:p w14:paraId="6B3AE914" w14:textId="77777777" w:rsidR="004B72F5" w:rsidRDefault="004B72F5">
            <w:r>
              <w:rPr>
                <w:rFonts w:ascii="Arial" w:hAnsi="Arial" w:cs="Arial"/>
                <w:sz w:val="15"/>
                <w:szCs w:val="15"/>
              </w:rPr>
              <w:t>25 kg</w:t>
            </w:r>
          </w:p>
        </w:tc>
        <w:tc>
          <w:tcPr>
            <w:tcW w:w="0" w:type="auto"/>
            <w:tcBorders>
              <w:top w:val="outset" w:sz="6" w:space="0" w:color="auto"/>
              <w:left w:val="outset" w:sz="6" w:space="0" w:color="auto"/>
              <w:bottom w:val="outset" w:sz="6" w:space="0" w:color="auto"/>
              <w:right w:val="outset" w:sz="6" w:space="0" w:color="auto"/>
            </w:tcBorders>
          </w:tcPr>
          <w:p w14:paraId="4E0C9974" w14:textId="77777777" w:rsidR="004B72F5" w:rsidRDefault="004B72F5">
            <w:r>
              <w:rPr>
                <w:rFonts w:ascii="Arial" w:hAnsi="Arial" w:cs="Arial"/>
                <w:sz w:val="15"/>
                <w:szCs w:val="15"/>
              </w:rPr>
              <w:t>$59.99</w:t>
            </w:r>
          </w:p>
        </w:tc>
      </w:tr>
      <w:tr w:rsidR="004B72F5" w14:paraId="16AFECDB"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2E47792B" w14:textId="77777777" w:rsidR="004B72F5" w:rsidRDefault="004B72F5">
            <w:r>
              <w:rPr>
                <w:rFonts w:ascii="Arial" w:hAnsi="Arial" w:cs="Arial"/>
                <w:sz w:val="15"/>
                <w:szCs w:val="15"/>
              </w:rPr>
              <w:t>Turf Builder</w:t>
            </w:r>
          </w:p>
        </w:tc>
        <w:tc>
          <w:tcPr>
            <w:tcW w:w="0" w:type="auto"/>
            <w:tcBorders>
              <w:top w:val="outset" w:sz="6" w:space="0" w:color="auto"/>
              <w:left w:val="outset" w:sz="6" w:space="0" w:color="auto"/>
              <w:bottom w:val="outset" w:sz="6" w:space="0" w:color="auto"/>
              <w:right w:val="outset" w:sz="6" w:space="0" w:color="auto"/>
            </w:tcBorders>
          </w:tcPr>
          <w:p w14:paraId="07002424" w14:textId="77777777" w:rsidR="004B72F5" w:rsidRDefault="004B72F5">
            <w:r>
              <w:rPr>
                <w:rFonts w:ascii="Arial" w:hAnsi="Arial" w:cs="Arial"/>
                <w:sz w:val="15"/>
                <w:szCs w:val="15"/>
              </w:rPr>
              <w:t>5 kg</w:t>
            </w:r>
          </w:p>
        </w:tc>
        <w:tc>
          <w:tcPr>
            <w:tcW w:w="0" w:type="auto"/>
            <w:tcBorders>
              <w:top w:val="outset" w:sz="6" w:space="0" w:color="auto"/>
              <w:left w:val="outset" w:sz="6" w:space="0" w:color="auto"/>
              <w:bottom w:val="outset" w:sz="6" w:space="0" w:color="auto"/>
              <w:right w:val="outset" w:sz="6" w:space="0" w:color="auto"/>
            </w:tcBorders>
          </w:tcPr>
          <w:p w14:paraId="2B77316D" w14:textId="77777777" w:rsidR="004B72F5" w:rsidRDefault="004B72F5">
            <w:r>
              <w:rPr>
                <w:rFonts w:ascii="Arial" w:hAnsi="Arial" w:cs="Arial"/>
                <w:sz w:val="15"/>
                <w:szCs w:val="15"/>
              </w:rPr>
              <w:t>$14.75</w:t>
            </w:r>
          </w:p>
        </w:tc>
      </w:tr>
      <w:tr w:rsidR="004B72F5" w14:paraId="57E65942"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761E4142" w14:textId="77777777" w:rsidR="004B72F5" w:rsidRDefault="004B72F5">
            <w:r>
              <w:rPr>
                <w:rFonts w:ascii="Arial" w:hAnsi="Arial" w:cs="Arial"/>
                <w:sz w:val="15"/>
                <w:szCs w:val="15"/>
              </w:rPr>
              <w:t>Miracle-Gro—Plant/Crystals</w:t>
            </w:r>
          </w:p>
        </w:tc>
        <w:tc>
          <w:tcPr>
            <w:tcW w:w="0" w:type="auto"/>
            <w:tcBorders>
              <w:top w:val="outset" w:sz="6" w:space="0" w:color="auto"/>
              <w:left w:val="outset" w:sz="6" w:space="0" w:color="auto"/>
              <w:bottom w:val="outset" w:sz="6" w:space="0" w:color="auto"/>
              <w:right w:val="outset" w:sz="6" w:space="0" w:color="auto"/>
            </w:tcBorders>
          </w:tcPr>
          <w:p w14:paraId="01BA678F" w14:textId="77777777" w:rsidR="004B72F5" w:rsidRDefault="004B72F5">
            <w:r>
              <w:rPr>
                <w:rFonts w:ascii="Arial" w:hAnsi="Arial" w:cs="Arial"/>
                <w:sz w:val="15"/>
                <w:szCs w:val="15"/>
              </w:rPr>
              <w:t>200 grams</w:t>
            </w:r>
          </w:p>
        </w:tc>
        <w:tc>
          <w:tcPr>
            <w:tcW w:w="0" w:type="auto"/>
            <w:tcBorders>
              <w:top w:val="outset" w:sz="6" w:space="0" w:color="auto"/>
              <w:left w:val="outset" w:sz="6" w:space="0" w:color="auto"/>
              <w:bottom w:val="outset" w:sz="6" w:space="0" w:color="auto"/>
              <w:right w:val="outset" w:sz="6" w:space="0" w:color="auto"/>
            </w:tcBorders>
          </w:tcPr>
          <w:p w14:paraId="67237FAF" w14:textId="77777777" w:rsidR="004B72F5" w:rsidRDefault="004B72F5">
            <w:r>
              <w:rPr>
                <w:rFonts w:ascii="Arial" w:hAnsi="Arial" w:cs="Arial"/>
                <w:sz w:val="15"/>
                <w:szCs w:val="15"/>
              </w:rPr>
              <w:t>$ 8.50</w:t>
            </w:r>
          </w:p>
        </w:tc>
      </w:tr>
      <w:tr w:rsidR="004B72F5" w14:paraId="7416C211"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3AFB0D0C" w14:textId="77777777" w:rsidR="004B72F5" w:rsidRDefault="004B72F5">
            <w:r>
              <w:rPr>
                <w:rFonts w:ascii="Arial" w:hAnsi="Arial" w:cs="Arial"/>
                <w:sz w:val="15"/>
                <w:szCs w:val="15"/>
              </w:rPr>
              <w:t>Miracle-Gro—Lawn/Garden</w:t>
            </w:r>
          </w:p>
        </w:tc>
        <w:tc>
          <w:tcPr>
            <w:tcW w:w="0" w:type="auto"/>
            <w:tcBorders>
              <w:top w:val="outset" w:sz="6" w:space="0" w:color="auto"/>
              <w:left w:val="outset" w:sz="6" w:space="0" w:color="auto"/>
              <w:bottom w:val="outset" w:sz="6" w:space="0" w:color="auto"/>
              <w:right w:val="outset" w:sz="6" w:space="0" w:color="auto"/>
            </w:tcBorders>
          </w:tcPr>
          <w:p w14:paraId="4C30578E" w14:textId="77777777" w:rsidR="004B72F5" w:rsidRDefault="004B72F5">
            <w:r>
              <w:rPr>
                <w:rFonts w:ascii="Arial" w:hAnsi="Arial" w:cs="Arial"/>
                <w:sz w:val="15"/>
                <w:szCs w:val="15"/>
              </w:rPr>
              <w:t>2.5 kg</w:t>
            </w:r>
          </w:p>
        </w:tc>
        <w:tc>
          <w:tcPr>
            <w:tcW w:w="0" w:type="auto"/>
            <w:tcBorders>
              <w:top w:val="outset" w:sz="6" w:space="0" w:color="auto"/>
              <w:left w:val="outset" w:sz="6" w:space="0" w:color="auto"/>
              <w:bottom w:val="outset" w:sz="6" w:space="0" w:color="auto"/>
              <w:right w:val="outset" w:sz="6" w:space="0" w:color="auto"/>
            </w:tcBorders>
          </w:tcPr>
          <w:p w14:paraId="759BC663" w14:textId="77777777" w:rsidR="004B72F5" w:rsidRDefault="004B72F5">
            <w:r>
              <w:rPr>
                <w:rFonts w:ascii="Arial" w:hAnsi="Arial" w:cs="Arial"/>
                <w:sz w:val="15"/>
                <w:szCs w:val="15"/>
              </w:rPr>
              <w:t>$12.95</w:t>
            </w:r>
          </w:p>
        </w:tc>
      </w:tr>
      <w:tr w:rsidR="004B72F5" w14:paraId="6AB2EEB6"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281FFAFE" w14:textId="77777777" w:rsidR="004B72F5" w:rsidRDefault="004B72F5">
            <w:r>
              <w:rPr>
                <w:rFonts w:ascii="Arial" w:hAnsi="Arial" w:cs="Arial"/>
                <w:sz w:val="15"/>
                <w:szCs w:val="15"/>
              </w:rPr>
              <w:t xml:space="preserve">Miracle-Gro—Liquid </w:t>
            </w:r>
          </w:p>
        </w:tc>
        <w:tc>
          <w:tcPr>
            <w:tcW w:w="0" w:type="auto"/>
            <w:tcBorders>
              <w:top w:val="outset" w:sz="6" w:space="0" w:color="auto"/>
              <w:left w:val="outset" w:sz="6" w:space="0" w:color="auto"/>
              <w:bottom w:val="outset" w:sz="6" w:space="0" w:color="auto"/>
              <w:right w:val="outset" w:sz="6" w:space="0" w:color="auto"/>
            </w:tcBorders>
          </w:tcPr>
          <w:p w14:paraId="6DEC9CA4" w14:textId="77777777" w:rsidR="004B72F5" w:rsidRDefault="004B72F5">
            <w:r>
              <w:rPr>
                <w:rFonts w:ascii="Arial" w:hAnsi="Arial" w:cs="Arial"/>
                <w:sz w:val="15"/>
                <w:szCs w:val="15"/>
              </w:rPr>
              <w:t xml:space="preserve">1 </w:t>
            </w:r>
            <w:proofErr w:type="spellStart"/>
            <w:r>
              <w:rPr>
                <w:rFonts w:ascii="Arial" w:hAnsi="Arial" w:cs="Arial"/>
                <w:sz w:val="15"/>
                <w:szCs w:val="15"/>
              </w:rPr>
              <w:t>litre</w:t>
            </w:r>
            <w:proofErr w:type="spellEnd"/>
          </w:p>
        </w:tc>
        <w:tc>
          <w:tcPr>
            <w:tcW w:w="0" w:type="auto"/>
            <w:tcBorders>
              <w:top w:val="outset" w:sz="6" w:space="0" w:color="auto"/>
              <w:left w:val="outset" w:sz="6" w:space="0" w:color="auto"/>
              <w:bottom w:val="outset" w:sz="6" w:space="0" w:color="auto"/>
              <w:right w:val="outset" w:sz="6" w:space="0" w:color="auto"/>
            </w:tcBorders>
          </w:tcPr>
          <w:p w14:paraId="29422C87" w14:textId="77777777" w:rsidR="004B72F5" w:rsidRDefault="004B72F5">
            <w:r>
              <w:rPr>
                <w:rFonts w:ascii="Arial" w:hAnsi="Arial" w:cs="Arial"/>
                <w:sz w:val="15"/>
                <w:szCs w:val="15"/>
              </w:rPr>
              <w:t>$ 7.99</w:t>
            </w:r>
          </w:p>
        </w:tc>
      </w:tr>
      <w:tr w:rsidR="004B72F5" w14:paraId="371344D1"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6D7CBABE" w14:textId="77777777" w:rsidR="004B72F5" w:rsidRDefault="00B9688F">
            <w:r>
              <w:rPr>
                <w:rFonts w:ascii="Arial" w:hAnsi="Arial" w:cs="Arial"/>
                <w:sz w:val="15"/>
                <w:szCs w:val="15"/>
              </w:rPr>
              <w:t>CIL</w:t>
            </w:r>
          </w:p>
        </w:tc>
        <w:tc>
          <w:tcPr>
            <w:tcW w:w="0" w:type="auto"/>
            <w:tcBorders>
              <w:top w:val="outset" w:sz="6" w:space="0" w:color="auto"/>
              <w:left w:val="outset" w:sz="6" w:space="0" w:color="auto"/>
              <w:bottom w:val="outset" w:sz="6" w:space="0" w:color="auto"/>
              <w:right w:val="outset" w:sz="6" w:space="0" w:color="auto"/>
            </w:tcBorders>
          </w:tcPr>
          <w:p w14:paraId="65150A2D" w14:textId="77777777" w:rsidR="004B72F5" w:rsidRDefault="004B72F5">
            <w:r>
              <w:rPr>
                <w:rFonts w:ascii="Arial" w:hAnsi="Arial" w:cs="Arial"/>
                <w:sz w:val="15"/>
                <w:szCs w:val="15"/>
              </w:rPr>
              <w:t>10 kg</w:t>
            </w:r>
          </w:p>
        </w:tc>
        <w:tc>
          <w:tcPr>
            <w:tcW w:w="0" w:type="auto"/>
            <w:tcBorders>
              <w:top w:val="outset" w:sz="6" w:space="0" w:color="auto"/>
              <w:left w:val="outset" w:sz="6" w:space="0" w:color="auto"/>
              <w:bottom w:val="outset" w:sz="6" w:space="0" w:color="auto"/>
              <w:right w:val="outset" w:sz="6" w:space="0" w:color="auto"/>
            </w:tcBorders>
          </w:tcPr>
          <w:p w14:paraId="733443A0" w14:textId="77777777" w:rsidR="004B72F5" w:rsidRDefault="004B72F5">
            <w:r>
              <w:rPr>
                <w:rFonts w:ascii="Arial" w:hAnsi="Arial" w:cs="Arial"/>
                <w:sz w:val="15"/>
                <w:szCs w:val="15"/>
              </w:rPr>
              <w:t>$23.99</w:t>
            </w:r>
          </w:p>
        </w:tc>
      </w:tr>
      <w:tr w:rsidR="004B72F5" w14:paraId="3E6BC165" w14:textId="77777777" w:rsidTr="004B72F5">
        <w:trPr>
          <w:trHeight w:val="195"/>
          <w:tblCellSpacing w:w="0" w:type="dxa"/>
        </w:trPr>
        <w:tc>
          <w:tcPr>
            <w:tcW w:w="0" w:type="auto"/>
            <w:tcBorders>
              <w:top w:val="outset" w:sz="6" w:space="0" w:color="auto"/>
              <w:left w:val="outset" w:sz="6" w:space="0" w:color="auto"/>
              <w:bottom w:val="outset" w:sz="6" w:space="0" w:color="auto"/>
              <w:right w:val="outset" w:sz="6" w:space="0" w:color="auto"/>
            </w:tcBorders>
          </w:tcPr>
          <w:p w14:paraId="7943CAC8" w14:textId="77777777" w:rsidR="004B72F5" w:rsidRDefault="00B9688F">
            <w:pPr>
              <w:spacing w:line="195" w:lineRule="atLeast"/>
            </w:pPr>
            <w:r>
              <w:rPr>
                <w:rFonts w:ascii="Arial" w:hAnsi="Arial" w:cs="Arial"/>
                <w:sz w:val="15"/>
                <w:szCs w:val="15"/>
              </w:rPr>
              <w:t>CIL</w:t>
            </w:r>
          </w:p>
        </w:tc>
        <w:tc>
          <w:tcPr>
            <w:tcW w:w="0" w:type="auto"/>
            <w:tcBorders>
              <w:top w:val="outset" w:sz="6" w:space="0" w:color="auto"/>
              <w:left w:val="outset" w:sz="6" w:space="0" w:color="auto"/>
              <w:bottom w:val="outset" w:sz="6" w:space="0" w:color="auto"/>
              <w:right w:val="outset" w:sz="6" w:space="0" w:color="auto"/>
            </w:tcBorders>
          </w:tcPr>
          <w:p w14:paraId="38C75816" w14:textId="77777777" w:rsidR="004B72F5" w:rsidRDefault="004B72F5">
            <w:pPr>
              <w:spacing w:line="195" w:lineRule="atLeast"/>
            </w:pPr>
            <w:r>
              <w:rPr>
                <w:rFonts w:ascii="Arial" w:hAnsi="Arial" w:cs="Arial"/>
                <w:sz w:val="15"/>
                <w:szCs w:val="15"/>
              </w:rPr>
              <w:t>30 kg</w:t>
            </w:r>
          </w:p>
        </w:tc>
        <w:tc>
          <w:tcPr>
            <w:tcW w:w="0" w:type="auto"/>
            <w:tcBorders>
              <w:top w:val="outset" w:sz="6" w:space="0" w:color="auto"/>
              <w:left w:val="outset" w:sz="6" w:space="0" w:color="auto"/>
              <w:bottom w:val="outset" w:sz="6" w:space="0" w:color="auto"/>
              <w:right w:val="outset" w:sz="6" w:space="0" w:color="auto"/>
            </w:tcBorders>
          </w:tcPr>
          <w:p w14:paraId="528B2087" w14:textId="77777777" w:rsidR="004B72F5" w:rsidRDefault="004B72F5">
            <w:pPr>
              <w:spacing w:line="195" w:lineRule="atLeast"/>
            </w:pPr>
            <w:r>
              <w:rPr>
                <w:rFonts w:ascii="Arial" w:hAnsi="Arial" w:cs="Arial"/>
                <w:sz w:val="15"/>
                <w:szCs w:val="15"/>
              </w:rPr>
              <w:t>$68.79</w:t>
            </w:r>
          </w:p>
        </w:tc>
      </w:tr>
    </w:tbl>
    <w:p w14:paraId="46E71E2D" w14:textId="77777777" w:rsidR="004B72F5" w:rsidRDefault="004B72F5" w:rsidP="004B72F5">
      <w:r>
        <w:t>  </w:t>
      </w:r>
    </w:p>
    <w:p w14:paraId="2B7D8010" w14:textId="77777777" w:rsidR="004B72F5" w:rsidRDefault="004B72F5" w:rsidP="004B72F5">
      <w:pPr>
        <w:pStyle w:val="NormalWeb"/>
      </w:pPr>
      <w:r>
        <w:rPr>
          <w:rFonts w:ascii="Arial" w:hAnsi="Arial" w:cs="Arial"/>
          <w:sz w:val="20"/>
          <w:szCs w:val="20"/>
        </w:rPr>
        <w:t>Most lawn care products are sold by three distinct types of retailers: discount stores, such as Ca</w:t>
      </w:r>
      <w:r w:rsidR="00F33FDD">
        <w:rPr>
          <w:rFonts w:ascii="Arial" w:hAnsi="Arial" w:cs="Arial"/>
          <w:sz w:val="20"/>
          <w:szCs w:val="20"/>
        </w:rPr>
        <w:t>nadian Tire, and Wal-Mart</w:t>
      </w:r>
      <w:r>
        <w:rPr>
          <w:rFonts w:ascii="Arial" w:hAnsi="Arial" w:cs="Arial"/>
          <w:sz w:val="20"/>
          <w:szCs w:val="20"/>
        </w:rPr>
        <w:t>; specialty stores, including nurseries; and home improvement stores. The discount stores, who buy direct from manufacturers, place strict requirements on their orders and expect price concessions and special support. Marketing e</w:t>
      </w:r>
      <w:r w:rsidR="00F33FDD">
        <w:rPr>
          <w:rFonts w:ascii="Arial" w:hAnsi="Arial" w:cs="Arial"/>
          <w:sz w:val="20"/>
          <w:szCs w:val="20"/>
        </w:rPr>
        <w:t>xpenses for both Scott and Premier Tech Home and Garden</w:t>
      </w:r>
      <w:r>
        <w:rPr>
          <w:rFonts w:ascii="Arial" w:hAnsi="Arial" w:cs="Arial"/>
          <w:sz w:val="20"/>
          <w:szCs w:val="20"/>
        </w:rPr>
        <w:t xml:space="preserve"> went up by approxi</w:t>
      </w:r>
      <w:r w:rsidR="00F33FDD">
        <w:rPr>
          <w:rFonts w:ascii="Arial" w:hAnsi="Arial" w:cs="Arial"/>
          <w:sz w:val="20"/>
          <w:szCs w:val="20"/>
        </w:rPr>
        <w:t>mately 10% between 2017 and 2018</w:t>
      </w:r>
      <w:r>
        <w:rPr>
          <w:rFonts w:ascii="Arial" w:hAnsi="Arial" w:cs="Arial"/>
          <w:sz w:val="20"/>
          <w:szCs w:val="20"/>
        </w:rPr>
        <w:t>, with the bulk of the increase devoted to promotions to discount retailers. This indicates the relative importance of this cha</w:t>
      </w:r>
      <w:r w:rsidR="00F33FDD">
        <w:rPr>
          <w:rFonts w:ascii="Arial" w:hAnsi="Arial" w:cs="Arial"/>
          <w:sz w:val="20"/>
          <w:szCs w:val="20"/>
        </w:rPr>
        <w:t>nnel.  it is estimated that 4</w:t>
      </w:r>
      <w:r w:rsidR="00475B5A">
        <w:rPr>
          <w:rFonts w:ascii="Arial" w:hAnsi="Arial" w:cs="Arial"/>
          <w:sz w:val="20"/>
          <w:szCs w:val="20"/>
        </w:rPr>
        <w:t>0</w:t>
      </w:r>
      <w:r>
        <w:rPr>
          <w:rFonts w:ascii="Arial" w:hAnsi="Arial" w:cs="Arial"/>
          <w:sz w:val="20"/>
          <w:szCs w:val="20"/>
        </w:rPr>
        <w:t>% of all consumer fertilizer sales are made in discount sto</w:t>
      </w:r>
      <w:r w:rsidR="00F33FDD">
        <w:rPr>
          <w:rFonts w:ascii="Arial" w:hAnsi="Arial" w:cs="Arial"/>
          <w:sz w:val="20"/>
          <w:szCs w:val="20"/>
        </w:rPr>
        <w:t>res, compared to approximately 2</w:t>
      </w:r>
      <w:r>
        <w:rPr>
          <w:rFonts w:ascii="Arial" w:hAnsi="Arial" w:cs="Arial"/>
          <w:sz w:val="20"/>
          <w:szCs w:val="20"/>
        </w:rPr>
        <w:t xml:space="preserve">0% of sales being </w:t>
      </w:r>
      <w:r w:rsidR="00F33FDD">
        <w:rPr>
          <w:rFonts w:ascii="Arial" w:hAnsi="Arial" w:cs="Arial"/>
          <w:sz w:val="20"/>
          <w:szCs w:val="20"/>
        </w:rPr>
        <w:t>made in specialty stores, and 3</w:t>
      </w:r>
      <w:r w:rsidR="00475B5A">
        <w:rPr>
          <w:rFonts w:ascii="Arial" w:hAnsi="Arial" w:cs="Arial"/>
          <w:sz w:val="20"/>
          <w:szCs w:val="20"/>
        </w:rPr>
        <w:t>0</w:t>
      </w:r>
      <w:r>
        <w:rPr>
          <w:rFonts w:ascii="Arial" w:hAnsi="Arial" w:cs="Arial"/>
          <w:sz w:val="20"/>
          <w:szCs w:val="20"/>
        </w:rPr>
        <w:t xml:space="preserve">% of sales being made in home improvement stores. Discount stores have, in fact, been spending millions in renovations in order to accommodate larger lawn and garden areas within their stores. The same is true with home improvement stores, </w:t>
      </w:r>
      <w:r w:rsidR="00475B5A">
        <w:rPr>
          <w:rFonts w:ascii="Arial" w:hAnsi="Arial" w:cs="Arial"/>
          <w:sz w:val="20"/>
          <w:szCs w:val="20"/>
        </w:rPr>
        <w:t>such as Home De</w:t>
      </w:r>
      <w:r w:rsidR="00F33FDD">
        <w:rPr>
          <w:rFonts w:ascii="Arial" w:hAnsi="Arial" w:cs="Arial"/>
          <w:sz w:val="20"/>
          <w:szCs w:val="20"/>
        </w:rPr>
        <w:t>pot, Lowes, and Rona</w:t>
      </w:r>
      <w:r>
        <w:rPr>
          <w:rFonts w:ascii="Arial" w:hAnsi="Arial" w:cs="Arial"/>
          <w:sz w:val="20"/>
          <w:szCs w:val="20"/>
        </w:rPr>
        <w:t>.</w:t>
      </w:r>
      <w:r>
        <w:t> </w:t>
      </w:r>
    </w:p>
    <w:p w14:paraId="08A6A5E1" w14:textId="77777777" w:rsidR="004B72F5" w:rsidRDefault="004B72F5" w:rsidP="004B72F5">
      <w:pPr>
        <w:pStyle w:val="NormalWeb"/>
      </w:pPr>
      <w:r>
        <w:rPr>
          <w:rFonts w:ascii="Arial" w:hAnsi="Arial" w:cs="Arial"/>
          <w:sz w:val="20"/>
          <w:szCs w:val="20"/>
        </w:rPr>
        <w:t xml:space="preserve">Specialty stores, the vast majority of which are nurseries, tend to be independently owned and thus much more numerous. While the nine top discount chains across Canada control over 89% of all sales from discount stores, the top 50 specialty garden stores account for less than 28% of all sales from this store type. The most recent research indicates that there are over 1000 specialty garden stores in </w:t>
      </w:r>
      <w:smartTag w:uri="urn:schemas-microsoft-com:office:smarttags" w:element="country-region">
        <w:smartTag w:uri="urn:schemas-microsoft-com:office:smarttags" w:element="place">
          <w:r>
            <w:rPr>
              <w:rFonts w:ascii="Arial" w:hAnsi="Arial" w:cs="Arial"/>
              <w:sz w:val="20"/>
              <w:szCs w:val="20"/>
            </w:rPr>
            <w:t>Canada</w:t>
          </w:r>
        </w:smartTag>
      </w:smartTag>
      <w:r>
        <w:rPr>
          <w:rFonts w:ascii="Arial" w:hAnsi="Arial" w:cs="Arial"/>
          <w:sz w:val="20"/>
          <w:szCs w:val="20"/>
        </w:rPr>
        <w:t>. Most of these stores purchase from large horticulture wholesalers, and receive little, if any, promotional assistance from the major manufacturers. Home improvement stores are growing in numbers, and tend to be large, powerful chains, such as Home Depot</w:t>
      </w:r>
      <w:r w:rsidR="00F33FDD">
        <w:rPr>
          <w:rFonts w:ascii="Arial" w:hAnsi="Arial" w:cs="Arial"/>
          <w:sz w:val="20"/>
          <w:szCs w:val="20"/>
        </w:rPr>
        <w:t>, Lowes,</w:t>
      </w:r>
      <w:r w:rsidR="00475B5A">
        <w:rPr>
          <w:rFonts w:ascii="Arial" w:hAnsi="Arial" w:cs="Arial"/>
          <w:sz w:val="20"/>
          <w:szCs w:val="20"/>
        </w:rPr>
        <w:t xml:space="preserve"> and Rona. </w:t>
      </w:r>
      <w:r>
        <w:rPr>
          <w:rFonts w:ascii="Arial" w:hAnsi="Arial" w:cs="Arial"/>
          <w:sz w:val="20"/>
          <w:szCs w:val="20"/>
        </w:rPr>
        <w:t xml:space="preserve"> Like discount stores, home improvement stores buy direct from the manufacturers and require price concessions and promotional support.</w:t>
      </w:r>
      <w:r>
        <w:t> </w:t>
      </w:r>
    </w:p>
    <w:p w14:paraId="7C3667D3" w14:textId="77777777" w:rsidR="004B72F5" w:rsidRDefault="004B72F5" w:rsidP="004B72F5">
      <w:pPr>
        <w:pStyle w:val="NormalWeb"/>
      </w:pPr>
      <w:r>
        <w:rPr>
          <w:rFonts w:ascii="Arial" w:hAnsi="Arial" w:cs="Arial"/>
          <w:sz w:val="20"/>
          <w:szCs w:val="20"/>
        </w:rPr>
        <w:t>The large manufacturers of fertilizer products</w:t>
      </w:r>
      <w:r w:rsidR="00475B5A">
        <w:rPr>
          <w:rFonts w:ascii="Arial" w:hAnsi="Arial" w:cs="Arial"/>
          <w:sz w:val="20"/>
          <w:szCs w:val="20"/>
        </w:rPr>
        <w:t xml:space="preserve"> generally spend approximately 1</w:t>
      </w:r>
      <w:r w:rsidR="00F33FDD">
        <w:rPr>
          <w:rFonts w:ascii="Arial" w:hAnsi="Arial" w:cs="Arial"/>
          <w:sz w:val="20"/>
          <w:szCs w:val="20"/>
        </w:rPr>
        <w:t>5</w:t>
      </w:r>
      <w:r>
        <w:rPr>
          <w:rFonts w:ascii="Arial" w:hAnsi="Arial" w:cs="Arial"/>
          <w:sz w:val="20"/>
          <w:szCs w:val="20"/>
        </w:rPr>
        <w:t>% of sales on marketing activities. The bulk of this money goes towards the sales force, and selling in general, and trade promotions. Due to the three different channels in which their product is sold, most fertilizer manufacturers recognize the importance of a strong sales force. In terms of trade promotions, they provide in-store literature, displays, and sales training—especially to the large discount stores and the home improvement stores. Less important is advertising. Miracle-Gro</w:t>
      </w:r>
      <w:r w:rsidR="00475B5A">
        <w:rPr>
          <w:rFonts w:ascii="Arial" w:hAnsi="Arial" w:cs="Arial"/>
          <w:sz w:val="20"/>
          <w:szCs w:val="20"/>
        </w:rPr>
        <w:t xml:space="preserve"> and Scott’s</w:t>
      </w:r>
      <w:r>
        <w:rPr>
          <w:rFonts w:ascii="Arial" w:hAnsi="Arial" w:cs="Arial"/>
          <w:sz w:val="20"/>
          <w:szCs w:val="20"/>
        </w:rPr>
        <w:t xml:space="preserve"> </w:t>
      </w:r>
      <w:r w:rsidR="00475B5A">
        <w:rPr>
          <w:rFonts w:ascii="Arial" w:hAnsi="Arial" w:cs="Arial"/>
          <w:sz w:val="20"/>
          <w:szCs w:val="20"/>
        </w:rPr>
        <w:t>are</w:t>
      </w:r>
      <w:r>
        <w:rPr>
          <w:rFonts w:ascii="Arial" w:hAnsi="Arial" w:cs="Arial"/>
          <w:sz w:val="20"/>
          <w:szCs w:val="20"/>
        </w:rPr>
        <w:t xml:space="preserve"> the most heavily advertised brand</w:t>
      </w:r>
      <w:r w:rsidR="00475B5A">
        <w:rPr>
          <w:rFonts w:ascii="Arial" w:hAnsi="Arial" w:cs="Arial"/>
          <w:sz w:val="20"/>
          <w:szCs w:val="20"/>
        </w:rPr>
        <w:t>s</w:t>
      </w:r>
      <w:r>
        <w:rPr>
          <w:rFonts w:ascii="Arial" w:hAnsi="Arial" w:cs="Arial"/>
          <w:sz w:val="20"/>
          <w:szCs w:val="20"/>
        </w:rPr>
        <w:t xml:space="preserve"> on the ma</w:t>
      </w:r>
      <w:r w:rsidR="00475B5A">
        <w:rPr>
          <w:rFonts w:ascii="Arial" w:hAnsi="Arial" w:cs="Arial"/>
          <w:sz w:val="20"/>
          <w:szCs w:val="20"/>
        </w:rPr>
        <w:t>r</w:t>
      </w:r>
      <w:r w:rsidR="00F33FDD">
        <w:rPr>
          <w:rFonts w:ascii="Arial" w:hAnsi="Arial" w:cs="Arial"/>
          <w:sz w:val="20"/>
          <w:szCs w:val="20"/>
        </w:rPr>
        <w:t>ket, and they generally spend 8</w:t>
      </w:r>
      <w:r>
        <w:rPr>
          <w:rFonts w:ascii="Arial" w:hAnsi="Arial" w:cs="Arial"/>
          <w:sz w:val="20"/>
          <w:szCs w:val="20"/>
        </w:rPr>
        <w:t>% of sales on advertising (which probably accounts for the high brand name awareness). Scotts advertises Turf Builder, but only during the early spring when demand for lawn fertilizers is at its peak. Most companies run their advertisements for their existing brands and any new brands they may be launching during the spring and early summer months. Thus, advertising expenditures are gen</w:t>
      </w:r>
      <w:r w:rsidR="00F33FDD">
        <w:rPr>
          <w:rFonts w:ascii="Arial" w:hAnsi="Arial" w:cs="Arial"/>
          <w:sz w:val="20"/>
          <w:szCs w:val="20"/>
        </w:rPr>
        <w:t>erally at their highest in</w:t>
      </w:r>
      <w:r w:rsidR="00475B5A">
        <w:rPr>
          <w:rFonts w:ascii="Arial" w:hAnsi="Arial" w:cs="Arial"/>
          <w:sz w:val="20"/>
          <w:szCs w:val="20"/>
        </w:rPr>
        <w:t xml:space="preserve"> April, May, and June, and much lower</w:t>
      </w:r>
      <w:r>
        <w:rPr>
          <w:rFonts w:ascii="Arial" w:hAnsi="Arial" w:cs="Arial"/>
          <w:sz w:val="20"/>
          <w:szCs w:val="20"/>
        </w:rPr>
        <w:t xml:space="preserve"> at all other times. Only Miracle-Gro is advertised year- round, with different messages at different times of the year. For example, Miracle-Gro advertises its benefits for house plants during the winter months, and its benefits for fruits, vegetables, and flowers during the spring and summer months.</w:t>
      </w:r>
      <w:r>
        <w:t> </w:t>
      </w:r>
    </w:p>
    <w:p w14:paraId="4E3A079B" w14:textId="77777777" w:rsidR="004B72F5" w:rsidRDefault="004B72F5" w:rsidP="004B72F5">
      <w:pPr>
        <w:pStyle w:val="NormalWeb"/>
      </w:pPr>
      <w:r>
        <w:rPr>
          <w:rFonts w:ascii="Arial" w:hAnsi="Arial" w:cs="Arial"/>
          <w:b/>
          <w:bCs/>
          <w:sz w:val="20"/>
          <w:szCs w:val="20"/>
        </w:rPr>
        <w:t>THE COMMERCIAL MARKET</w:t>
      </w:r>
      <w:r>
        <w:t> </w:t>
      </w:r>
    </w:p>
    <w:p w14:paraId="2342AC30" w14:textId="77777777" w:rsidR="009E7620" w:rsidRPr="009E7620" w:rsidRDefault="004B72F5" w:rsidP="009E7620">
      <w:pPr>
        <w:pStyle w:val="NormalWeb"/>
        <w:rPr>
          <w:rFonts w:ascii="Arial" w:hAnsi="Arial" w:cs="Arial"/>
          <w:sz w:val="20"/>
          <w:szCs w:val="20"/>
        </w:rPr>
      </w:pPr>
      <w:r w:rsidRPr="00FF49AB">
        <w:rPr>
          <w:rFonts w:ascii="Arial" w:hAnsi="Arial" w:cs="Arial"/>
          <w:sz w:val="20"/>
          <w:szCs w:val="20"/>
        </w:rPr>
        <w:t>The commercial market consists primarily of Canada</w:t>
      </w:r>
      <w:r w:rsidR="009E7620" w:rsidRPr="00FF49AB">
        <w:rPr>
          <w:rFonts w:ascii="Arial" w:hAnsi="Arial" w:cs="Arial"/>
          <w:sz w:val="20"/>
          <w:szCs w:val="20"/>
        </w:rPr>
        <w:t>’s 24</w:t>
      </w:r>
      <w:r w:rsidR="00642A2C" w:rsidRPr="00FF49AB">
        <w:rPr>
          <w:rFonts w:ascii="Arial" w:hAnsi="Arial" w:cs="Arial"/>
          <w:sz w:val="20"/>
          <w:szCs w:val="20"/>
        </w:rPr>
        <w:t>00</w:t>
      </w:r>
      <w:r w:rsidRPr="00FF49AB">
        <w:rPr>
          <w:rFonts w:ascii="Arial" w:hAnsi="Arial" w:cs="Arial"/>
          <w:sz w:val="20"/>
          <w:szCs w:val="20"/>
        </w:rPr>
        <w:t xml:space="preserve"> golf courses, but also includes commercial properties such as office complexes and apartment buildings. </w:t>
      </w:r>
      <w:r w:rsidR="009E7620" w:rsidRPr="00FF49AB">
        <w:rPr>
          <w:rFonts w:ascii="Arial" w:hAnsi="Arial" w:cs="Arial"/>
          <w:sz w:val="20"/>
          <w:szCs w:val="20"/>
        </w:rPr>
        <w:t>The numbers are stunning. There ar</w:t>
      </w:r>
      <w:r w:rsidR="008F7E5E" w:rsidRPr="00FF49AB">
        <w:rPr>
          <w:rFonts w:ascii="Arial" w:hAnsi="Arial" w:cs="Arial"/>
          <w:sz w:val="20"/>
          <w:szCs w:val="20"/>
        </w:rPr>
        <w:t xml:space="preserve">e an estimated </w:t>
      </w:r>
      <w:r w:rsidR="009E7620" w:rsidRPr="00FF49AB">
        <w:rPr>
          <w:rFonts w:ascii="Arial" w:hAnsi="Arial" w:cs="Arial"/>
          <w:sz w:val="20"/>
          <w:szCs w:val="20"/>
        </w:rPr>
        <w:t>number of golfers in Canada at about 1.5 million. That’s one course for every 625 play</w:t>
      </w:r>
      <w:r w:rsidR="00F20934">
        <w:rPr>
          <w:rFonts w:ascii="Arial" w:hAnsi="Arial" w:cs="Arial"/>
          <w:sz w:val="20"/>
          <w:szCs w:val="20"/>
        </w:rPr>
        <w:t>ers, or 15,4</w:t>
      </w:r>
      <w:r w:rsidR="009E7620" w:rsidRPr="00FF49AB">
        <w:rPr>
          <w:rFonts w:ascii="Arial" w:hAnsi="Arial" w:cs="Arial"/>
          <w:sz w:val="20"/>
          <w:szCs w:val="20"/>
        </w:rPr>
        <w:t>00 Canadians—among the highest number p</w:t>
      </w:r>
      <w:r w:rsidR="00BA0705">
        <w:rPr>
          <w:rFonts w:ascii="Arial" w:hAnsi="Arial" w:cs="Arial"/>
          <w:sz w:val="20"/>
          <w:szCs w:val="20"/>
        </w:rPr>
        <w:t>er capita in the world.  However</w:t>
      </w:r>
      <w:r w:rsidR="009E7620" w:rsidRPr="00FF49AB">
        <w:rPr>
          <w:rFonts w:ascii="Arial" w:hAnsi="Arial" w:cs="Arial"/>
          <w:sz w:val="20"/>
          <w:szCs w:val="20"/>
        </w:rPr>
        <w:t>, Canadians appear to be playing less golf than they used to. A recent study by the National Allied Golf Associations, or NAGA, found that the number of rounds played on the average Canadian course has dropped 15 per cent over the past five years, with the blame falling on everything from waning interest to the time commitment required.  In the U.S., a painful industry shakeout is already under way. Equipment sales are down, closures of golf courses</w:t>
      </w:r>
      <w:r w:rsidR="009E7620" w:rsidRPr="009E7620">
        <w:rPr>
          <w:rFonts w:ascii="Arial" w:hAnsi="Arial" w:cs="Arial"/>
          <w:sz w:val="20"/>
          <w:szCs w:val="20"/>
        </w:rPr>
        <w:t xml:space="preserve"> are commonplace and an estimated 400,000 players left the sport last year alone. In Canada, meanwhile, clubs are slashing fees in a bid to stay in the black, with some more successful than others. The award-winning Sagebrush Golf &amp; Sporting Club near Merritt, B.C., recently applied to put itself into receivership, following in the footsteps of others such as Tobiano (Kamloo</w:t>
      </w:r>
      <w:r w:rsidR="00F70798">
        <w:rPr>
          <w:rFonts w:ascii="Arial" w:hAnsi="Arial" w:cs="Arial"/>
          <w:sz w:val="20"/>
          <w:szCs w:val="20"/>
        </w:rPr>
        <w:t>ps), Tower Ranch (Kelowna) and T</w:t>
      </w:r>
      <w:r w:rsidR="009E7620" w:rsidRPr="009E7620">
        <w:rPr>
          <w:rFonts w:ascii="Arial" w:hAnsi="Arial" w:cs="Arial"/>
          <w:sz w:val="20"/>
          <w:szCs w:val="20"/>
        </w:rPr>
        <w:t>he Rise (Vernon). In Ontario, the private York Downs Golf &amp; Country Club north of Toronto put itself up for sale to developers (although the club says it’s not in any financial trouble), while a candidate seeking Toronto’s mayoralty wants to turn a money-losing municipal course in the east end into a park to ease the taxpayer burden.</w:t>
      </w:r>
      <w:r w:rsidR="009E7620">
        <w:rPr>
          <w:rFonts w:ascii="Arial" w:hAnsi="Arial" w:cs="Arial"/>
          <w:sz w:val="20"/>
          <w:szCs w:val="20"/>
        </w:rPr>
        <w:t xml:space="preserve">  </w:t>
      </w:r>
      <w:r w:rsidR="009E7620" w:rsidRPr="009E7620">
        <w:rPr>
          <w:rFonts w:ascii="Arial" w:hAnsi="Arial" w:cs="Arial"/>
          <w:sz w:val="20"/>
          <w:szCs w:val="20"/>
        </w:rPr>
        <w:t>How did the industry end up in such an obvious hazard? Overly optimistic predictions about how many retired Baby Boomers would hit the links was part of it. But the real culprit was golf’s unhealthy relationship with North America’s overheated r</w:t>
      </w:r>
      <w:r w:rsidR="00F70798">
        <w:rPr>
          <w:rFonts w:ascii="Arial" w:hAnsi="Arial" w:cs="Arial"/>
          <w:sz w:val="20"/>
          <w:szCs w:val="20"/>
        </w:rPr>
        <w:t xml:space="preserve">eal estate market. </w:t>
      </w:r>
    </w:p>
    <w:p w14:paraId="4FD46FF9" w14:textId="77777777" w:rsidR="004B72F5" w:rsidRDefault="009E7620" w:rsidP="009E7620">
      <w:pPr>
        <w:pStyle w:val="NormalWeb"/>
      </w:pPr>
      <w:r w:rsidRPr="009E7620">
        <w:rPr>
          <w:rFonts w:ascii="Arial" w:hAnsi="Arial" w:cs="Arial"/>
          <w:sz w:val="20"/>
          <w:szCs w:val="20"/>
        </w:rPr>
        <w:t>Now the industry is scrambling to find its way back out of the rough. Some operators have cut back on watering and maintenance, allowing courses to exist in a more “natural” state. Others are grasping for new ways to sell a centuries-old game to a time-pressed audience, experimenting with faster-to-play courses and pay-as-you-go pricing. One course in B.C. is using eight-inch cups on the greens to make putting easier, while others propose going as big as 15 inches, roughly the size of a large pizza. Golf Digest raised eyebrows this year when it featured a scantily dressed Paulina Gretzky on its cover—not because she’s a golfer, but b</w:t>
      </w:r>
      <w:r w:rsidR="008F7E5E">
        <w:rPr>
          <w:rFonts w:ascii="Arial" w:hAnsi="Arial" w:cs="Arial"/>
          <w:sz w:val="20"/>
          <w:szCs w:val="20"/>
        </w:rPr>
        <w:t>ecause she happens to be married</w:t>
      </w:r>
      <w:r w:rsidRPr="009E7620">
        <w:rPr>
          <w:rFonts w:ascii="Arial" w:hAnsi="Arial" w:cs="Arial"/>
          <w:sz w:val="20"/>
          <w:szCs w:val="20"/>
        </w:rPr>
        <w:t xml:space="preserve"> to one.</w:t>
      </w:r>
      <w:r w:rsidR="008F7E5E">
        <w:rPr>
          <w:rFonts w:ascii="Arial" w:hAnsi="Arial" w:cs="Arial"/>
          <w:sz w:val="20"/>
          <w:szCs w:val="20"/>
        </w:rPr>
        <w:t xml:space="preserve">  </w:t>
      </w:r>
      <w:r w:rsidR="004B72F5">
        <w:rPr>
          <w:rFonts w:ascii="Arial" w:hAnsi="Arial" w:cs="Arial"/>
          <w:sz w:val="20"/>
          <w:szCs w:val="20"/>
        </w:rPr>
        <w:t>Currently under fire for being a major source of ground water pollution, due to the high and frequent levels of fertilizers used to keep courses green, most owners are actively looking for ways to cut both water and fertilizer usage. Cou</w:t>
      </w:r>
      <w:r w:rsidR="008F7E5E">
        <w:rPr>
          <w:rFonts w:ascii="Arial" w:hAnsi="Arial" w:cs="Arial"/>
          <w:sz w:val="20"/>
          <w:szCs w:val="20"/>
        </w:rPr>
        <w:t>rse owners spend, on average, $2</w:t>
      </w:r>
      <w:r w:rsidR="004B72F5">
        <w:rPr>
          <w:rFonts w:ascii="Arial" w:hAnsi="Arial" w:cs="Arial"/>
          <w:sz w:val="20"/>
          <w:szCs w:val="20"/>
        </w:rPr>
        <w:t>00,000 to maintain their golf course during the year, of which 42% represents water usage costs and 24% represents fertilizer purchases. For extremely large, complex courses, t</w:t>
      </w:r>
      <w:r w:rsidR="008F7E5E">
        <w:rPr>
          <w:rFonts w:ascii="Arial" w:hAnsi="Arial" w:cs="Arial"/>
          <w:sz w:val="20"/>
          <w:szCs w:val="20"/>
        </w:rPr>
        <w:t>his figure can run as high as $6</w:t>
      </w:r>
      <w:r w:rsidR="004B72F5">
        <w:rPr>
          <w:rFonts w:ascii="Arial" w:hAnsi="Arial" w:cs="Arial"/>
          <w:sz w:val="20"/>
          <w:szCs w:val="20"/>
        </w:rPr>
        <w:t xml:space="preserve">00,000, and for smaller inner-city public courses, as low as $104,000. </w:t>
      </w:r>
      <w:r w:rsidR="00C447DF">
        <w:rPr>
          <w:rFonts w:ascii="Arial" w:hAnsi="Arial" w:cs="Arial"/>
          <w:sz w:val="20"/>
          <w:szCs w:val="20"/>
        </w:rPr>
        <w:t>Tests have indicated that New Grow</w:t>
      </w:r>
      <w:r w:rsidR="005B5E87">
        <w:rPr>
          <w:rFonts w:ascii="Arial" w:hAnsi="Arial" w:cs="Arial"/>
          <w:sz w:val="20"/>
          <w:szCs w:val="20"/>
        </w:rPr>
        <w:t>™</w:t>
      </w:r>
      <w:r w:rsidR="004B72F5">
        <w:rPr>
          <w:rFonts w:ascii="Arial" w:hAnsi="Arial" w:cs="Arial"/>
          <w:sz w:val="20"/>
          <w:szCs w:val="20"/>
        </w:rPr>
        <w:t xml:space="preserve"> wil</w:t>
      </w:r>
      <w:r w:rsidR="008F7E5E">
        <w:rPr>
          <w:rFonts w:ascii="Arial" w:hAnsi="Arial" w:cs="Arial"/>
          <w:sz w:val="20"/>
          <w:szCs w:val="20"/>
        </w:rPr>
        <w:t>l reduce water usage by one third</w:t>
      </w:r>
      <w:r w:rsidR="004B72F5">
        <w:rPr>
          <w:rFonts w:ascii="Arial" w:hAnsi="Arial" w:cs="Arial"/>
          <w:sz w:val="20"/>
          <w:szCs w:val="20"/>
        </w:rPr>
        <w:t xml:space="preserve"> a</w:t>
      </w:r>
      <w:r w:rsidR="008F7E5E">
        <w:rPr>
          <w:rFonts w:ascii="Arial" w:hAnsi="Arial" w:cs="Arial"/>
          <w:sz w:val="20"/>
          <w:szCs w:val="20"/>
        </w:rPr>
        <w:t>nd fertilizer usage by one quarter</w:t>
      </w:r>
      <w:r w:rsidR="004B72F5">
        <w:rPr>
          <w:rFonts w:ascii="Arial" w:hAnsi="Arial" w:cs="Arial"/>
          <w:sz w:val="20"/>
          <w:szCs w:val="20"/>
        </w:rPr>
        <w:t xml:space="preserve">. This is the </w:t>
      </w:r>
      <w:r w:rsidR="00C447DF">
        <w:rPr>
          <w:rFonts w:ascii="Arial" w:hAnsi="Arial" w:cs="Arial"/>
          <w:sz w:val="20"/>
          <w:szCs w:val="20"/>
        </w:rPr>
        <w:t>primary reason why Ms. Smith</w:t>
      </w:r>
      <w:r w:rsidR="004B72F5">
        <w:rPr>
          <w:rFonts w:ascii="Arial" w:hAnsi="Arial" w:cs="Arial"/>
          <w:sz w:val="20"/>
          <w:szCs w:val="20"/>
        </w:rPr>
        <w:t xml:space="preserve"> was so adamant that the company select the commercial market as their primary target market.</w:t>
      </w:r>
      <w:r w:rsidR="004B72F5">
        <w:t> </w:t>
      </w:r>
    </w:p>
    <w:p w14:paraId="23D888B0" w14:textId="77777777" w:rsidR="004B72F5" w:rsidRDefault="004B72F5" w:rsidP="004B72F5">
      <w:pPr>
        <w:pStyle w:val="NormalWeb"/>
      </w:pPr>
      <w:r>
        <w:rPr>
          <w:rFonts w:ascii="Arial" w:hAnsi="Arial" w:cs="Arial"/>
          <w:sz w:val="20"/>
          <w:szCs w:val="20"/>
        </w:rPr>
        <w:t>It is estimated that the numb</w:t>
      </w:r>
      <w:r w:rsidR="008F7E5E">
        <w:rPr>
          <w:rFonts w:ascii="Arial" w:hAnsi="Arial" w:cs="Arial"/>
          <w:sz w:val="20"/>
          <w:szCs w:val="20"/>
        </w:rPr>
        <w:t>er of golf courses will decrease by 10% to 2160</w:t>
      </w:r>
      <w:r w:rsidR="00C447DF">
        <w:rPr>
          <w:rFonts w:ascii="Arial" w:hAnsi="Arial" w:cs="Arial"/>
          <w:sz w:val="20"/>
          <w:szCs w:val="20"/>
        </w:rPr>
        <w:t xml:space="preserve"> by the end of 2020</w:t>
      </w:r>
      <w:r w:rsidR="008F7E5E">
        <w:rPr>
          <w:rFonts w:ascii="Arial" w:hAnsi="Arial" w:cs="Arial"/>
          <w:sz w:val="20"/>
          <w:szCs w:val="20"/>
        </w:rPr>
        <w:t xml:space="preserve">.  </w:t>
      </w:r>
      <w:r>
        <w:rPr>
          <w:rFonts w:ascii="Arial" w:hAnsi="Arial" w:cs="Arial"/>
          <w:sz w:val="20"/>
          <w:szCs w:val="20"/>
        </w:rPr>
        <w:t>Currently, golf courses purchase maintenance supplies from wholesalers who specialize in products uniquely designed for the type of grasses used. Manufacturers of these fertilizers tend to be small firms, or divisions of the larger chemical companies. The market share leader in golf course fertilizers is Sierra Horticultural Products, a subsidiary of Scotts Co</w:t>
      </w:r>
      <w:r w:rsidR="008F7E5E">
        <w:rPr>
          <w:rFonts w:ascii="Arial" w:hAnsi="Arial" w:cs="Arial"/>
          <w:sz w:val="20"/>
          <w:szCs w:val="20"/>
        </w:rPr>
        <w:t>.</w:t>
      </w:r>
      <w:r>
        <w:rPr>
          <w:rFonts w:ascii="Arial" w:hAnsi="Arial" w:cs="Arial"/>
          <w:sz w:val="20"/>
          <w:szCs w:val="20"/>
        </w:rPr>
        <w:t xml:space="preserve"> </w:t>
      </w:r>
      <w:r w:rsidR="008F7E5E">
        <w:rPr>
          <w:rFonts w:ascii="Arial" w:hAnsi="Arial" w:cs="Arial"/>
          <w:sz w:val="20"/>
          <w:szCs w:val="20"/>
        </w:rPr>
        <w:t xml:space="preserve"> </w:t>
      </w:r>
      <w:r>
        <w:rPr>
          <w:rFonts w:ascii="Arial" w:hAnsi="Arial" w:cs="Arial"/>
          <w:sz w:val="20"/>
          <w:szCs w:val="20"/>
        </w:rPr>
        <w:t>Their biggest competitor in Canada is Nu-Gro Corporation—an Ontario-based horticultural</w:t>
      </w:r>
      <w:r w:rsidR="00642A2C">
        <w:rPr>
          <w:rFonts w:ascii="Arial" w:hAnsi="Arial" w:cs="Arial"/>
          <w:sz w:val="20"/>
          <w:szCs w:val="20"/>
        </w:rPr>
        <w:t xml:space="preserve"> products company founded in 200</w:t>
      </w:r>
      <w:r>
        <w:rPr>
          <w:rFonts w:ascii="Arial" w:hAnsi="Arial" w:cs="Arial"/>
          <w:sz w:val="20"/>
          <w:szCs w:val="20"/>
        </w:rPr>
        <w:t>2. Unlike the firms competing in the consumer lawn maintenance market, these firms spend only about 9% of sales on marketing activities. These firms engage in little advertising, preferring to spend their marketing funds on sales calls to golf courses. They provide free samples of their products to non-users and try to build solid, long-lasting relationships with course owners. They know that it takes a tremendous selling effort to get a golf course owner to switch brands. If satisfied with their current brand, many course owners are unwilling to risk switching to a new product that may not perform as well. Since the condition of the course is the most important attribute in a consumer’s selection of a course to play, course owners tend to be highly brand-loyal.</w:t>
      </w:r>
      <w:r>
        <w:t> </w:t>
      </w:r>
      <w:r w:rsidR="00914CA7" w:rsidRPr="00482195">
        <w:rPr>
          <w:rFonts w:ascii="Arial" w:hAnsi="Arial" w:cs="Arial"/>
          <w:sz w:val="20"/>
          <w:szCs w:val="20"/>
        </w:rPr>
        <w:t>Should they consider to switch, most would likely want to see the results of the new product applied to a test area, for example the driving range, for a season or two before switching.</w:t>
      </w:r>
    </w:p>
    <w:p w14:paraId="45008AA0" w14:textId="77777777" w:rsidR="004B72F5" w:rsidRDefault="004B72F5" w:rsidP="004B72F5">
      <w:pPr>
        <w:pStyle w:val="NormalWeb"/>
      </w:pPr>
      <w:r>
        <w:rPr>
          <w:rFonts w:ascii="Arial" w:hAnsi="Arial" w:cs="Arial"/>
          <w:sz w:val="20"/>
          <w:szCs w:val="20"/>
        </w:rPr>
        <w:t xml:space="preserve">Course owners, however, have two overriding concerns. The first problem concerns the growing public debate on the ground water pollution caused by golf courses. Heavy use of fertilizers and constant manual watering results in a chemical buildup in nearby reservoirs. In fact, according to the US Environmental Protection Agency, golf courses are the major source of ground water pollution in the </w:t>
      </w:r>
      <w:smartTag w:uri="urn:schemas-microsoft-com:office:smarttags" w:element="country-region">
        <w:smartTag w:uri="urn:schemas-microsoft-com:office:smarttags" w:element="place">
          <w:r>
            <w:rPr>
              <w:rFonts w:ascii="Arial" w:hAnsi="Arial" w:cs="Arial"/>
              <w:sz w:val="20"/>
              <w:szCs w:val="20"/>
            </w:rPr>
            <w:t>United States</w:t>
          </w:r>
        </w:smartTag>
      </w:smartTag>
      <w:r>
        <w:rPr>
          <w:rFonts w:ascii="Arial" w:hAnsi="Arial" w:cs="Arial"/>
          <w:sz w:val="20"/>
          <w:szCs w:val="20"/>
        </w:rPr>
        <w:t>. More and more negative publicity, in the form of newspaper and magazine articles, has resulted in golf course developers being denied permits to construct new courses. Thus, addressing the issue of ground water pollution is a major concern with course owners.</w:t>
      </w:r>
      <w:r>
        <w:t> </w:t>
      </w:r>
    </w:p>
    <w:p w14:paraId="40D2E8ED" w14:textId="77777777" w:rsidR="004B72F5" w:rsidRDefault="004B72F5" w:rsidP="004B72F5">
      <w:pPr>
        <w:pStyle w:val="NormalWeb"/>
      </w:pPr>
      <w:r>
        <w:rPr>
          <w:rFonts w:ascii="Arial" w:hAnsi="Arial" w:cs="Arial"/>
          <w:sz w:val="20"/>
          <w:szCs w:val="20"/>
        </w:rPr>
        <w:t>Their second problem i</w:t>
      </w:r>
      <w:r w:rsidR="00A03E31">
        <w:rPr>
          <w:rFonts w:ascii="Arial" w:hAnsi="Arial" w:cs="Arial"/>
          <w:sz w:val="20"/>
          <w:szCs w:val="20"/>
        </w:rPr>
        <w:t>s that of shrinking profits.</w:t>
      </w:r>
      <w:r>
        <w:rPr>
          <w:rFonts w:ascii="Arial" w:hAnsi="Arial" w:cs="Arial"/>
          <w:sz w:val="20"/>
          <w:szCs w:val="20"/>
        </w:rPr>
        <w:t xml:space="preserve"> </w:t>
      </w:r>
      <w:r w:rsidR="00A03E31">
        <w:rPr>
          <w:rFonts w:ascii="Arial" w:hAnsi="Arial" w:cs="Arial"/>
          <w:sz w:val="20"/>
          <w:szCs w:val="20"/>
        </w:rPr>
        <w:t xml:space="preserve"> With some courses engaging in</w:t>
      </w:r>
      <w:r>
        <w:rPr>
          <w:rFonts w:ascii="Arial" w:hAnsi="Arial" w:cs="Arial"/>
          <w:sz w:val="20"/>
          <w:szCs w:val="20"/>
        </w:rPr>
        <w:t xml:space="preserve"> green-fees price wars, profit margins for many of the public courses have b</w:t>
      </w:r>
      <w:r w:rsidR="00A03E31">
        <w:rPr>
          <w:rFonts w:ascii="Arial" w:hAnsi="Arial" w:cs="Arial"/>
          <w:sz w:val="20"/>
          <w:szCs w:val="20"/>
        </w:rPr>
        <w:t>ecome strained.</w:t>
      </w:r>
      <w:r>
        <w:t> </w:t>
      </w:r>
    </w:p>
    <w:p w14:paraId="763EACE7" w14:textId="77777777" w:rsidR="004B72F5" w:rsidRDefault="00A03E31" w:rsidP="004B72F5">
      <w:pPr>
        <w:pStyle w:val="NormalWeb"/>
      </w:pPr>
      <w:r>
        <w:rPr>
          <w:rFonts w:ascii="Arial" w:hAnsi="Arial" w:cs="Arial"/>
          <w:sz w:val="20"/>
          <w:szCs w:val="20"/>
        </w:rPr>
        <w:t>Estimated to be about one tenth</w:t>
      </w:r>
      <w:r w:rsidR="004B72F5">
        <w:rPr>
          <w:rFonts w:ascii="Arial" w:hAnsi="Arial" w:cs="Arial"/>
          <w:sz w:val="20"/>
          <w:szCs w:val="20"/>
        </w:rPr>
        <w:t xml:space="preserve"> the size of the golf course market is the balance of the commercial lawn care market, consisting of apartment and office complexes. Their needs are much less complex than golf courses, resulting in purchasing behaviour that mirrors that of the consumer market. Little concrete information is available concerning the number of office co</w:t>
      </w:r>
      <w:r>
        <w:rPr>
          <w:rFonts w:ascii="Arial" w:hAnsi="Arial" w:cs="Arial"/>
          <w:sz w:val="20"/>
          <w:szCs w:val="20"/>
        </w:rPr>
        <w:t>mplexes and apartment buildings.</w:t>
      </w:r>
      <w:r w:rsidR="004B72F5">
        <w:rPr>
          <w:rFonts w:ascii="Arial" w:hAnsi="Arial" w:cs="Arial"/>
          <w:sz w:val="20"/>
          <w:szCs w:val="20"/>
        </w:rPr>
        <w:t xml:space="preserve"> </w:t>
      </w:r>
      <w:r>
        <w:rPr>
          <w:rFonts w:ascii="Arial" w:hAnsi="Arial" w:cs="Arial"/>
          <w:sz w:val="20"/>
          <w:szCs w:val="20"/>
        </w:rPr>
        <w:t xml:space="preserve"> </w:t>
      </w:r>
      <w:r w:rsidR="004B72F5">
        <w:rPr>
          <w:rFonts w:ascii="Arial" w:hAnsi="Arial" w:cs="Arial"/>
          <w:sz w:val="20"/>
          <w:szCs w:val="20"/>
        </w:rPr>
        <w:t>This sector of the commercial market tends to purchase in bulk through wholesalers—generally the same wholesalers who service the specialty stores in the consumer market.</w:t>
      </w:r>
      <w:r w:rsidR="004B72F5">
        <w:t> </w:t>
      </w:r>
    </w:p>
    <w:p w14:paraId="5D7C0DD5" w14:textId="77777777" w:rsidR="004B72F5" w:rsidRDefault="00C447DF" w:rsidP="004B72F5">
      <w:pPr>
        <w:pStyle w:val="NormalWeb"/>
      </w:pPr>
      <w:r>
        <w:rPr>
          <w:rFonts w:ascii="Arial" w:hAnsi="Arial" w:cs="Arial"/>
          <w:b/>
          <w:bCs/>
          <w:sz w:val="20"/>
          <w:szCs w:val="20"/>
        </w:rPr>
        <w:t>Micronutrients Canada</w:t>
      </w:r>
    </w:p>
    <w:p w14:paraId="7B2B7E37" w14:textId="77777777" w:rsidR="004B72F5" w:rsidRPr="00A03E31" w:rsidRDefault="00C447DF" w:rsidP="004B72F5">
      <w:pPr>
        <w:pStyle w:val="NormalWeb"/>
        <w:rPr>
          <w:rFonts w:ascii="Arial" w:hAnsi="Arial" w:cs="Arial"/>
          <w:sz w:val="20"/>
          <w:szCs w:val="20"/>
        </w:rPr>
      </w:pPr>
      <w:r>
        <w:rPr>
          <w:rFonts w:ascii="Arial" w:hAnsi="Arial" w:cs="Arial"/>
          <w:sz w:val="20"/>
          <w:szCs w:val="20"/>
        </w:rPr>
        <w:t>Micronutrients Canada</w:t>
      </w:r>
      <w:r w:rsidR="004B72F5">
        <w:rPr>
          <w:rFonts w:ascii="Arial" w:hAnsi="Arial" w:cs="Arial"/>
          <w:sz w:val="20"/>
          <w:szCs w:val="20"/>
        </w:rPr>
        <w:t xml:space="preserve"> was incorporated nearly one year ago. They have leased their production facilities, and have purchased and/or leased all of the equipment and machinery necessary for </w:t>
      </w:r>
      <w:r>
        <w:rPr>
          <w:rFonts w:ascii="Arial" w:hAnsi="Arial" w:cs="Arial"/>
          <w:sz w:val="20"/>
          <w:szCs w:val="20"/>
        </w:rPr>
        <w:t>use in the production of New Grow</w:t>
      </w:r>
      <w:r w:rsidR="00282A31">
        <w:rPr>
          <w:rFonts w:ascii="Arial" w:hAnsi="Arial" w:cs="Arial"/>
          <w:sz w:val="20"/>
          <w:szCs w:val="20"/>
        </w:rPr>
        <w:t>™</w:t>
      </w:r>
      <w:r w:rsidR="004B72F5">
        <w:rPr>
          <w:rFonts w:ascii="Arial" w:hAnsi="Arial" w:cs="Arial"/>
          <w:sz w:val="20"/>
          <w:szCs w:val="20"/>
        </w:rPr>
        <w:t>. Their production facilit</w:t>
      </w:r>
      <w:r w:rsidR="00642A2C">
        <w:rPr>
          <w:rFonts w:ascii="Arial" w:hAnsi="Arial" w:cs="Arial"/>
          <w:sz w:val="20"/>
          <w:szCs w:val="20"/>
        </w:rPr>
        <w:t>y has the capacity to produce 30</w:t>
      </w:r>
      <w:r w:rsidR="004B72F5">
        <w:rPr>
          <w:rFonts w:ascii="Arial" w:hAnsi="Arial" w:cs="Arial"/>
          <w:sz w:val="20"/>
          <w:szCs w:val="20"/>
        </w:rPr>
        <w:t>0</w:t>
      </w:r>
      <w:r w:rsidR="003C5E56">
        <w:rPr>
          <w:rFonts w:ascii="Arial" w:hAnsi="Arial" w:cs="Arial"/>
          <w:sz w:val="20"/>
          <w:szCs w:val="20"/>
        </w:rPr>
        <w:t>,000 kilograms of New Grow</w:t>
      </w:r>
      <w:r w:rsidR="00282A31">
        <w:rPr>
          <w:rFonts w:ascii="Arial" w:hAnsi="Arial" w:cs="Arial"/>
          <w:sz w:val="20"/>
          <w:szCs w:val="20"/>
        </w:rPr>
        <w:t>™</w:t>
      </w:r>
      <w:r w:rsidR="004B72F5">
        <w:rPr>
          <w:rFonts w:ascii="Arial" w:hAnsi="Arial" w:cs="Arial"/>
          <w:sz w:val="20"/>
          <w:szCs w:val="20"/>
        </w:rPr>
        <w:t xml:space="preserve"> p</w:t>
      </w:r>
      <w:r w:rsidR="003C5E56">
        <w:rPr>
          <w:rFonts w:ascii="Arial" w:hAnsi="Arial" w:cs="Arial"/>
          <w:sz w:val="20"/>
          <w:szCs w:val="20"/>
        </w:rPr>
        <w:t>er month. The owners of Micronutrients Canada</w:t>
      </w:r>
      <w:r w:rsidR="004B72F5">
        <w:rPr>
          <w:rFonts w:ascii="Arial" w:hAnsi="Arial" w:cs="Arial"/>
          <w:sz w:val="20"/>
          <w:szCs w:val="20"/>
        </w:rPr>
        <w:t xml:space="preserve"> have suggested a quality/value-added pricing strategy. They believe that they have a superior product that will save the end user both time and money, due to the reduced need for fertilizer products and reduced need for manual wa</w:t>
      </w:r>
      <w:r w:rsidR="006E5C1F">
        <w:rPr>
          <w:rFonts w:ascii="Arial" w:hAnsi="Arial" w:cs="Arial"/>
          <w:sz w:val="20"/>
          <w:szCs w:val="20"/>
        </w:rPr>
        <w:t>tering. The founders of Micronutrients Canada</w:t>
      </w:r>
      <w:r w:rsidR="004B72F5">
        <w:rPr>
          <w:rFonts w:ascii="Arial" w:hAnsi="Arial" w:cs="Arial"/>
          <w:sz w:val="20"/>
          <w:szCs w:val="20"/>
        </w:rPr>
        <w:t xml:space="preserve"> outlined their ideas for the launch year marketing strategy for both the consumer and the commercial lawn-care markets.</w:t>
      </w:r>
      <w:r w:rsidR="004B72F5">
        <w:t> </w:t>
      </w:r>
    </w:p>
    <w:p w14:paraId="4E95FC04" w14:textId="77777777" w:rsidR="004B72F5" w:rsidRDefault="006E5C1F" w:rsidP="004B72F5">
      <w:pPr>
        <w:pStyle w:val="NormalWeb"/>
      </w:pPr>
      <w:r>
        <w:rPr>
          <w:rFonts w:ascii="Arial" w:hAnsi="Arial" w:cs="Arial"/>
          <w:sz w:val="20"/>
          <w:szCs w:val="20"/>
        </w:rPr>
        <w:t>If Micronutrients</w:t>
      </w:r>
      <w:r w:rsidR="004B72F5">
        <w:rPr>
          <w:rFonts w:ascii="Arial" w:hAnsi="Arial" w:cs="Arial"/>
          <w:sz w:val="20"/>
          <w:szCs w:val="20"/>
        </w:rPr>
        <w:t xml:space="preserve"> elects to target the consumer m</w:t>
      </w:r>
      <w:r>
        <w:rPr>
          <w:rFonts w:ascii="Arial" w:hAnsi="Arial" w:cs="Arial"/>
          <w:sz w:val="20"/>
          <w:szCs w:val="20"/>
        </w:rPr>
        <w:t>arket, they will package New Grow</w:t>
      </w:r>
      <w:r w:rsidR="00282A31">
        <w:rPr>
          <w:rFonts w:ascii="Arial" w:hAnsi="Arial" w:cs="Arial"/>
          <w:sz w:val="20"/>
          <w:szCs w:val="20"/>
        </w:rPr>
        <w:t>™</w:t>
      </w:r>
      <w:r w:rsidR="004B72F5">
        <w:rPr>
          <w:rFonts w:ascii="Arial" w:hAnsi="Arial" w:cs="Arial"/>
          <w:sz w:val="20"/>
          <w:szCs w:val="20"/>
        </w:rPr>
        <w:t xml:space="preserve"> in a </w:t>
      </w:r>
      <w:proofErr w:type="gramStart"/>
      <w:r w:rsidR="004B72F5">
        <w:rPr>
          <w:rFonts w:ascii="Arial" w:hAnsi="Arial" w:cs="Arial"/>
          <w:sz w:val="20"/>
          <w:szCs w:val="20"/>
        </w:rPr>
        <w:t>10 kilogram</w:t>
      </w:r>
      <w:proofErr w:type="gramEnd"/>
      <w:r w:rsidR="004B72F5">
        <w:rPr>
          <w:rFonts w:ascii="Arial" w:hAnsi="Arial" w:cs="Arial"/>
          <w:sz w:val="20"/>
          <w:szCs w:val="20"/>
        </w:rPr>
        <w:t xml:space="preserve"> bag, which market research indicates was the most popular size with consumers. They will set their price to trade (i.e., wholesalers and retailers) at $22.50, with thei</w:t>
      </w:r>
      <w:r w:rsidR="00A03E31">
        <w:rPr>
          <w:rFonts w:ascii="Arial" w:hAnsi="Arial" w:cs="Arial"/>
          <w:sz w:val="20"/>
          <w:szCs w:val="20"/>
        </w:rPr>
        <w:t>r variable costs representing 32</w:t>
      </w:r>
      <w:r w:rsidR="004B72F5">
        <w:rPr>
          <w:rFonts w:ascii="Arial" w:hAnsi="Arial" w:cs="Arial"/>
          <w:sz w:val="20"/>
          <w:szCs w:val="20"/>
        </w:rPr>
        <w:t>% of sales. On average, the large discount stores and h</w:t>
      </w:r>
      <w:r w:rsidR="00A03E31">
        <w:rPr>
          <w:rFonts w:ascii="Arial" w:hAnsi="Arial" w:cs="Arial"/>
          <w:sz w:val="20"/>
          <w:szCs w:val="20"/>
        </w:rPr>
        <w:t>ome improvement stores take a 10</w:t>
      </w:r>
      <w:r w:rsidR="004B72F5">
        <w:rPr>
          <w:rFonts w:ascii="Arial" w:hAnsi="Arial" w:cs="Arial"/>
          <w:sz w:val="20"/>
          <w:szCs w:val="20"/>
        </w:rPr>
        <w:t xml:space="preserve">% markup on lawn maintenance products. The smaller specialty </w:t>
      </w:r>
      <w:r w:rsidR="00642A2C">
        <w:rPr>
          <w:rFonts w:ascii="Arial" w:hAnsi="Arial" w:cs="Arial"/>
          <w:sz w:val="20"/>
          <w:szCs w:val="20"/>
        </w:rPr>
        <w:t xml:space="preserve">stores take a larger markup of </w:t>
      </w:r>
      <w:r w:rsidR="00A03E31">
        <w:rPr>
          <w:rFonts w:ascii="Arial" w:hAnsi="Arial" w:cs="Arial"/>
          <w:sz w:val="20"/>
          <w:szCs w:val="20"/>
        </w:rPr>
        <w:t>30</w:t>
      </w:r>
      <w:r w:rsidR="004B72F5">
        <w:rPr>
          <w:rFonts w:ascii="Arial" w:hAnsi="Arial" w:cs="Arial"/>
          <w:sz w:val="20"/>
          <w:szCs w:val="20"/>
        </w:rPr>
        <w:t>%. Wholesalers (if used) take a 15% markup. Fixed p</w:t>
      </w:r>
      <w:r w:rsidR="006B13A4">
        <w:rPr>
          <w:rFonts w:ascii="Arial" w:hAnsi="Arial" w:cs="Arial"/>
          <w:sz w:val="20"/>
          <w:szCs w:val="20"/>
        </w:rPr>
        <w:t>roduction costs include $1.2 million</w:t>
      </w:r>
      <w:r w:rsidR="004B72F5">
        <w:rPr>
          <w:rFonts w:ascii="Arial" w:hAnsi="Arial" w:cs="Arial"/>
          <w:sz w:val="20"/>
          <w:szCs w:val="20"/>
        </w:rPr>
        <w:t xml:space="preserve"> in annual rental (for the site and the equipment), general and administrative expenses of $</w:t>
      </w:r>
      <w:r w:rsidR="006B13A4">
        <w:rPr>
          <w:rFonts w:ascii="Arial" w:hAnsi="Arial" w:cs="Arial"/>
          <w:sz w:val="20"/>
          <w:szCs w:val="20"/>
        </w:rPr>
        <w:t>1</w:t>
      </w:r>
      <w:r w:rsidR="004B72F5">
        <w:rPr>
          <w:rFonts w:ascii="Arial" w:hAnsi="Arial" w:cs="Arial"/>
          <w:sz w:val="20"/>
          <w:szCs w:val="20"/>
        </w:rPr>
        <w:t>80,200, research</w:t>
      </w:r>
      <w:r w:rsidR="006B13A4">
        <w:rPr>
          <w:rFonts w:ascii="Arial" w:hAnsi="Arial" w:cs="Arial"/>
          <w:sz w:val="20"/>
          <w:szCs w:val="20"/>
        </w:rPr>
        <w:t xml:space="preserve"> and development expenses of $60</w:t>
      </w:r>
      <w:r w:rsidR="004B72F5">
        <w:rPr>
          <w:rFonts w:ascii="Arial" w:hAnsi="Arial" w:cs="Arial"/>
          <w:sz w:val="20"/>
          <w:szCs w:val="20"/>
        </w:rPr>
        <w:t>,650, a</w:t>
      </w:r>
      <w:r w:rsidR="006B13A4">
        <w:rPr>
          <w:rFonts w:ascii="Arial" w:hAnsi="Arial" w:cs="Arial"/>
          <w:sz w:val="20"/>
          <w:szCs w:val="20"/>
        </w:rPr>
        <w:t>nd miscellaneous expenses of $32</w:t>
      </w:r>
      <w:r w:rsidR="004B72F5">
        <w:rPr>
          <w:rFonts w:ascii="Arial" w:hAnsi="Arial" w:cs="Arial"/>
          <w:sz w:val="20"/>
          <w:szCs w:val="20"/>
        </w:rPr>
        <w:t xml:space="preserve">,350. Distribution costs (including freight, warehousing, and storage) represented a significant yearly expense due to the seasonal nature </w:t>
      </w:r>
      <w:r>
        <w:rPr>
          <w:rFonts w:ascii="Arial" w:hAnsi="Arial" w:cs="Arial"/>
          <w:sz w:val="20"/>
          <w:szCs w:val="20"/>
        </w:rPr>
        <w:t>of demand. Production of New Grow</w:t>
      </w:r>
      <w:r w:rsidR="004B72F5">
        <w:rPr>
          <w:rFonts w:ascii="Arial" w:hAnsi="Arial" w:cs="Arial"/>
          <w:sz w:val="20"/>
          <w:szCs w:val="20"/>
        </w:rPr>
        <w:t xml:space="preserve"> would be continuous year round; however, sales would be highly concentrated in the months of April through September. This means that the company would have relatively high distribution costs, estima</w:t>
      </w:r>
      <w:r w:rsidR="00A03E31">
        <w:rPr>
          <w:rFonts w:ascii="Arial" w:hAnsi="Arial" w:cs="Arial"/>
          <w:sz w:val="20"/>
          <w:szCs w:val="20"/>
        </w:rPr>
        <w:t>ted to be $426,000 per year.</w:t>
      </w:r>
    </w:p>
    <w:p w14:paraId="6AF1FEFD" w14:textId="77777777" w:rsidR="004B72F5" w:rsidRDefault="004B72F5" w:rsidP="004B72F5">
      <w:pPr>
        <w:pStyle w:val="NormalWeb"/>
      </w:pPr>
      <w:r>
        <w:rPr>
          <w:rFonts w:ascii="Arial" w:hAnsi="Arial" w:cs="Arial"/>
          <w:sz w:val="20"/>
          <w:szCs w:val="20"/>
        </w:rPr>
        <w:t>Their marke</w:t>
      </w:r>
      <w:r w:rsidR="00642A2C">
        <w:rPr>
          <w:rFonts w:ascii="Arial" w:hAnsi="Arial" w:cs="Arial"/>
          <w:sz w:val="20"/>
          <w:szCs w:val="20"/>
        </w:rPr>
        <w:t>ting budget has been set at $ $6</w:t>
      </w:r>
      <w:r w:rsidR="006E5C1F">
        <w:rPr>
          <w:rFonts w:ascii="Arial" w:hAnsi="Arial" w:cs="Arial"/>
          <w:sz w:val="20"/>
          <w:szCs w:val="20"/>
        </w:rPr>
        <w:t>55,000, and Micronutrients</w:t>
      </w:r>
      <w:r>
        <w:rPr>
          <w:rFonts w:ascii="Arial" w:hAnsi="Arial" w:cs="Arial"/>
          <w:sz w:val="20"/>
          <w:szCs w:val="20"/>
        </w:rPr>
        <w:t xml:space="preserve"> has suggested this amount be allocated to the variou</w:t>
      </w:r>
      <w:r w:rsidR="006E5C1F">
        <w:rPr>
          <w:rFonts w:ascii="Arial" w:hAnsi="Arial" w:cs="Arial"/>
          <w:sz w:val="20"/>
          <w:szCs w:val="20"/>
        </w:rPr>
        <w:t xml:space="preserve">s tasks, as shown in Exhibit </w:t>
      </w:r>
      <w:r>
        <w:rPr>
          <w:rFonts w:ascii="Arial" w:hAnsi="Arial" w:cs="Arial"/>
          <w:sz w:val="20"/>
          <w:szCs w:val="20"/>
        </w:rPr>
        <w:t>2. Seasonal discounts are price discounts offered to retailers and wholesalers as an incentive to purchase well in advance of the peak selling season.  The displays will cost approximately $250 each (which includes promotional materials, such as brochures), and will be furnished to discount stores, home improvement stores, and as many nurseries as possible. The sweepstakes is used to increase</w:t>
      </w:r>
      <w:r w:rsidR="006E5C1F">
        <w:rPr>
          <w:rFonts w:ascii="Arial" w:hAnsi="Arial" w:cs="Arial"/>
          <w:sz w:val="20"/>
          <w:szCs w:val="20"/>
        </w:rPr>
        <w:t xml:space="preserve"> awareness and interest in New Grow</w:t>
      </w:r>
      <w:r>
        <w:rPr>
          <w:rFonts w:ascii="Arial" w:hAnsi="Arial" w:cs="Arial"/>
          <w:sz w:val="20"/>
          <w:szCs w:val="20"/>
        </w:rPr>
        <w:t>. Consumers will have the chance to win several valuable prizes, including a year of free lawn maintenance, lawn and garden equipment and supplies, and other related prizes.</w:t>
      </w:r>
      <w:r>
        <w:t> </w:t>
      </w:r>
    </w:p>
    <w:p w14:paraId="60D0326F" w14:textId="77777777" w:rsidR="004B72F5" w:rsidRDefault="004B72F5" w:rsidP="004B72F5">
      <w:pPr>
        <w:pStyle w:val="NormalWeb"/>
      </w:pPr>
      <w:r>
        <w:rPr>
          <w:rFonts w:ascii="Arial" w:hAnsi="Arial" w:cs="Arial"/>
          <w:sz w:val="20"/>
          <w:szCs w:val="20"/>
        </w:rPr>
        <w:t>In te</w:t>
      </w:r>
      <w:r w:rsidR="006E5C1F">
        <w:rPr>
          <w:rFonts w:ascii="Arial" w:hAnsi="Arial" w:cs="Arial"/>
          <w:sz w:val="20"/>
          <w:szCs w:val="20"/>
        </w:rPr>
        <w:t>rms of the sales force, Micronutrients</w:t>
      </w:r>
      <w:r>
        <w:rPr>
          <w:rFonts w:ascii="Arial" w:hAnsi="Arial" w:cs="Arial"/>
          <w:sz w:val="20"/>
          <w:szCs w:val="20"/>
        </w:rPr>
        <w:t xml:space="preserve"> has planned on hiring 20 sale</w:t>
      </w:r>
      <w:r w:rsidR="00642A2C">
        <w:rPr>
          <w:rFonts w:ascii="Arial" w:hAnsi="Arial" w:cs="Arial"/>
          <w:sz w:val="20"/>
          <w:szCs w:val="20"/>
        </w:rPr>
        <w:t>s reps at an average cost of $50</w:t>
      </w:r>
      <w:r>
        <w:rPr>
          <w:rFonts w:ascii="Arial" w:hAnsi="Arial" w:cs="Arial"/>
          <w:sz w:val="20"/>
          <w:szCs w:val="20"/>
        </w:rPr>
        <w:t>,000 per rep (salary and commission). The sales reps will be responsible for selling the product to the various channels, as well as offering sales training seminars.</w:t>
      </w:r>
      <w:r>
        <w:t> </w:t>
      </w:r>
    </w:p>
    <w:p w14:paraId="2E2BB659" w14:textId="77777777" w:rsidR="004B72F5" w:rsidRDefault="006E5C1F" w:rsidP="004B72F5">
      <w:pPr>
        <w:pStyle w:val="NormalWeb"/>
      </w:pPr>
      <w:r>
        <w:rPr>
          <w:rFonts w:ascii="Arial" w:hAnsi="Arial" w:cs="Arial"/>
          <w:sz w:val="20"/>
          <w:szCs w:val="20"/>
        </w:rPr>
        <w:t>If Micronutrients</w:t>
      </w:r>
      <w:r w:rsidR="004B72F5">
        <w:rPr>
          <w:rFonts w:ascii="Arial" w:hAnsi="Arial" w:cs="Arial"/>
          <w:sz w:val="20"/>
          <w:szCs w:val="20"/>
        </w:rPr>
        <w:t xml:space="preserve"> elects to target the commercial market, then the size of the product will be increased to a </w:t>
      </w:r>
      <w:proofErr w:type="gramStart"/>
      <w:r w:rsidR="004B72F5">
        <w:rPr>
          <w:rFonts w:ascii="Arial" w:hAnsi="Arial" w:cs="Arial"/>
          <w:sz w:val="20"/>
          <w:szCs w:val="20"/>
        </w:rPr>
        <w:t>50 kilogram</w:t>
      </w:r>
      <w:proofErr w:type="gramEnd"/>
      <w:r w:rsidR="004B72F5">
        <w:rPr>
          <w:rFonts w:ascii="Arial" w:hAnsi="Arial" w:cs="Arial"/>
          <w:sz w:val="20"/>
          <w:szCs w:val="20"/>
        </w:rPr>
        <w:t xml:space="preserve"> bag, which they will sell to wholesaler</w:t>
      </w:r>
      <w:r w:rsidR="00D40D1B">
        <w:rPr>
          <w:rFonts w:ascii="Arial" w:hAnsi="Arial" w:cs="Arial"/>
          <w:sz w:val="20"/>
          <w:szCs w:val="20"/>
        </w:rPr>
        <w:t>s or end users at a price of $120.00.  V</w:t>
      </w:r>
      <w:r w:rsidR="004B72F5">
        <w:rPr>
          <w:rFonts w:ascii="Arial" w:hAnsi="Arial" w:cs="Arial"/>
          <w:sz w:val="20"/>
          <w:szCs w:val="20"/>
        </w:rPr>
        <w:t xml:space="preserve">ariable costs as a percentage of sales </w:t>
      </w:r>
      <w:r w:rsidR="00D40D1B">
        <w:rPr>
          <w:rFonts w:ascii="Arial" w:hAnsi="Arial" w:cs="Arial"/>
          <w:sz w:val="20"/>
          <w:szCs w:val="20"/>
        </w:rPr>
        <w:t xml:space="preserve">price is </w:t>
      </w:r>
      <w:r w:rsidR="004B72F5">
        <w:rPr>
          <w:rFonts w:ascii="Arial" w:hAnsi="Arial" w:cs="Arial"/>
          <w:sz w:val="20"/>
          <w:szCs w:val="20"/>
        </w:rPr>
        <w:t>40%</w:t>
      </w:r>
      <w:r w:rsidR="001B0213">
        <w:rPr>
          <w:rFonts w:ascii="Arial" w:hAnsi="Arial" w:cs="Arial"/>
          <w:sz w:val="20"/>
          <w:szCs w:val="20"/>
        </w:rPr>
        <w:t>, resulting in a</w:t>
      </w:r>
      <w:r w:rsidR="004B72F5">
        <w:rPr>
          <w:rFonts w:ascii="Arial" w:hAnsi="Arial" w:cs="Arial"/>
          <w:sz w:val="20"/>
          <w:szCs w:val="20"/>
        </w:rPr>
        <w:t xml:space="preserve"> contribution margin of 60% of </w:t>
      </w:r>
      <w:r w:rsidR="001B0213">
        <w:rPr>
          <w:rFonts w:ascii="Arial" w:hAnsi="Arial" w:cs="Arial"/>
          <w:sz w:val="20"/>
          <w:szCs w:val="20"/>
        </w:rPr>
        <w:t>the selling price</w:t>
      </w:r>
      <w:r w:rsidR="004B72F5">
        <w:rPr>
          <w:rFonts w:ascii="Arial" w:hAnsi="Arial" w:cs="Arial"/>
          <w:sz w:val="20"/>
          <w:szCs w:val="20"/>
        </w:rPr>
        <w:t xml:space="preserve">. Wholesalers, who generally sell directly to the commercial users take a 15% markup. Fixed expenses will remain nearly the same as for the consumer market option, with the exception of marketing and distribution costs. None of the promotional activities, such as displays, seasonal discounts, sweepstakes, or advertising, will be used in the commercial market. Instead, the size of the sales force will be </w:t>
      </w:r>
      <w:r w:rsidR="001B0213">
        <w:rPr>
          <w:rFonts w:ascii="Arial" w:hAnsi="Arial" w:cs="Arial"/>
          <w:sz w:val="20"/>
          <w:szCs w:val="20"/>
        </w:rPr>
        <w:t>increased to 60</w:t>
      </w:r>
      <w:r w:rsidR="004B72F5">
        <w:rPr>
          <w:rFonts w:ascii="Arial" w:hAnsi="Arial" w:cs="Arial"/>
          <w:sz w:val="20"/>
          <w:szCs w:val="20"/>
        </w:rPr>
        <w:t xml:space="preserve"> to handle the lengthy sales calls necessary </w:t>
      </w:r>
      <w:r w:rsidR="00FC71AF">
        <w:rPr>
          <w:rFonts w:ascii="Arial" w:hAnsi="Arial" w:cs="Arial"/>
          <w:sz w:val="20"/>
          <w:szCs w:val="20"/>
        </w:rPr>
        <w:t xml:space="preserve">to golf courses. </w:t>
      </w:r>
      <w:r w:rsidR="001B0213">
        <w:rPr>
          <w:rFonts w:ascii="Arial" w:hAnsi="Arial" w:cs="Arial"/>
          <w:sz w:val="20"/>
          <w:szCs w:val="20"/>
        </w:rPr>
        <w:t>In addition, $8</w:t>
      </w:r>
      <w:r w:rsidR="004B72F5">
        <w:rPr>
          <w:rFonts w:ascii="Arial" w:hAnsi="Arial" w:cs="Arial"/>
          <w:sz w:val="20"/>
          <w:szCs w:val="20"/>
        </w:rPr>
        <w:t>00,000 has been set aside for free samples to be distributed to potential customers by the sales force. Finally, distribution costs decrease if the commercial market is chosen because demand tends to be slightly less seasonal. Thus costs for freight, warehou</w:t>
      </w:r>
      <w:r w:rsidR="001B0213">
        <w:rPr>
          <w:rFonts w:ascii="Arial" w:hAnsi="Arial" w:cs="Arial"/>
          <w:sz w:val="20"/>
          <w:szCs w:val="20"/>
        </w:rPr>
        <w:t>sing, and storage decrease to $3</w:t>
      </w:r>
      <w:r w:rsidR="004B72F5">
        <w:rPr>
          <w:rFonts w:ascii="Arial" w:hAnsi="Arial" w:cs="Arial"/>
          <w:sz w:val="20"/>
          <w:szCs w:val="20"/>
        </w:rPr>
        <w:t>25,000 under this option.</w:t>
      </w:r>
      <w:r w:rsidR="004B72F5">
        <w:t> </w:t>
      </w:r>
    </w:p>
    <w:p w14:paraId="5DFF4EFE" w14:textId="77777777" w:rsidR="004B72F5" w:rsidRDefault="006E5C1F" w:rsidP="004B72F5">
      <w:pPr>
        <w:pStyle w:val="NormalWeb"/>
      </w:pPr>
      <w:r>
        <w:rPr>
          <w:rFonts w:ascii="Arial" w:hAnsi="Arial" w:cs="Arial"/>
          <w:b/>
          <w:bCs/>
          <w:sz w:val="20"/>
          <w:szCs w:val="20"/>
        </w:rPr>
        <w:t xml:space="preserve">EXHIBIT </w:t>
      </w:r>
      <w:r w:rsidR="004B72F5">
        <w:rPr>
          <w:rFonts w:ascii="Arial" w:hAnsi="Arial" w:cs="Arial"/>
          <w:b/>
          <w:bCs/>
          <w:sz w:val="20"/>
          <w:szCs w:val="20"/>
        </w:rPr>
        <w:t>2</w:t>
      </w:r>
      <w:r w:rsidR="004B72F5">
        <w:rPr>
          <w:rFonts w:ascii="Arial" w:hAnsi="Arial" w:cs="Arial"/>
          <w:sz w:val="20"/>
          <w:szCs w:val="20"/>
        </w:rPr>
        <w:t xml:space="preserve"> </w:t>
      </w:r>
    </w:p>
    <w:p w14:paraId="26865E3C" w14:textId="77777777" w:rsidR="004B72F5" w:rsidRDefault="004B72F5" w:rsidP="004B72F5">
      <w:pPr>
        <w:pStyle w:val="NormalWeb"/>
      </w:pPr>
      <w:r>
        <w:rPr>
          <w:rFonts w:ascii="Arial" w:hAnsi="Arial" w:cs="Arial"/>
          <w:sz w:val="20"/>
          <w:szCs w:val="20"/>
        </w:rPr>
        <w:t>Allocation of Marketing Budget for Consumer Market Launch</w:t>
      </w:r>
    </w:p>
    <w:tbl>
      <w:tblPr>
        <w:tblW w:w="4530" w:type="dxa"/>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2626"/>
        <w:gridCol w:w="1904"/>
      </w:tblGrid>
      <w:tr w:rsidR="004B72F5" w14:paraId="5AA015AD" w14:textId="77777777" w:rsidTr="004B72F5">
        <w:trPr>
          <w:tblCellSpacing w:w="0" w:type="dxa"/>
        </w:trPr>
        <w:tc>
          <w:tcPr>
            <w:tcW w:w="1965" w:type="dxa"/>
            <w:tcBorders>
              <w:top w:val="outset" w:sz="6" w:space="0" w:color="auto"/>
              <w:left w:val="outset" w:sz="6" w:space="0" w:color="auto"/>
              <w:bottom w:val="outset" w:sz="6" w:space="0" w:color="auto"/>
              <w:right w:val="outset" w:sz="6" w:space="0" w:color="auto"/>
            </w:tcBorders>
          </w:tcPr>
          <w:p w14:paraId="0BD9F639" w14:textId="77777777" w:rsidR="004B72F5" w:rsidRDefault="004B72F5">
            <w:bookmarkStart w:id="1" w:name="table02"/>
            <w:bookmarkEnd w:id="1"/>
            <w:r>
              <w:rPr>
                <w:rFonts w:ascii="Arial" w:hAnsi="Arial" w:cs="Arial"/>
                <w:sz w:val="15"/>
                <w:szCs w:val="15"/>
              </w:rPr>
              <w:t>Marketing Task</w:t>
            </w:r>
          </w:p>
        </w:tc>
        <w:tc>
          <w:tcPr>
            <w:tcW w:w="1425" w:type="dxa"/>
            <w:tcBorders>
              <w:top w:val="outset" w:sz="6" w:space="0" w:color="auto"/>
              <w:left w:val="outset" w:sz="6" w:space="0" w:color="auto"/>
              <w:bottom w:val="outset" w:sz="6" w:space="0" w:color="auto"/>
              <w:right w:val="outset" w:sz="6" w:space="0" w:color="auto"/>
            </w:tcBorders>
          </w:tcPr>
          <w:p w14:paraId="43C794B1" w14:textId="77777777" w:rsidR="004B72F5" w:rsidRDefault="004B72F5">
            <w:r>
              <w:rPr>
                <w:rFonts w:ascii="Arial" w:hAnsi="Arial" w:cs="Arial"/>
                <w:sz w:val="15"/>
                <w:szCs w:val="15"/>
              </w:rPr>
              <w:t>Total Expenditure (Estimates)</w:t>
            </w:r>
          </w:p>
        </w:tc>
      </w:tr>
      <w:tr w:rsidR="004B72F5" w14:paraId="34AD992C"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4A6C83B6" w14:textId="77777777" w:rsidR="004B72F5" w:rsidRDefault="004B72F5">
            <w:r>
              <w:t> </w:t>
            </w:r>
          </w:p>
        </w:tc>
        <w:tc>
          <w:tcPr>
            <w:tcW w:w="0" w:type="auto"/>
            <w:tcBorders>
              <w:top w:val="outset" w:sz="6" w:space="0" w:color="auto"/>
              <w:left w:val="outset" w:sz="6" w:space="0" w:color="auto"/>
              <w:bottom w:val="outset" w:sz="6" w:space="0" w:color="auto"/>
              <w:right w:val="outset" w:sz="6" w:space="0" w:color="auto"/>
            </w:tcBorders>
          </w:tcPr>
          <w:p w14:paraId="4005AC3E" w14:textId="77777777" w:rsidR="004B72F5" w:rsidRDefault="004B72F5">
            <w:r>
              <w:t> </w:t>
            </w:r>
          </w:p>
        </w:tc>
      </w:tr>
      <w:tr w:rsidR="004B72F5" w14:paraId="4EE2F1F4"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02D9EDE0" w14:textId="77777777" w:rsidR="004B72F5" w:rsidRDefault="004B72F5">
            <w:r>
              <w:rPr>
                <w:rFonts w:ascii="Arial" w:hAnsi="Arial" w:cs="Arial"/>
                <w:sz w:val="15"/>
                <w:szCs w:val="15"/>
              </w:rPr>
              <w:t>Seasonal Discounts</w:t>
            </w:r>
          </w:p>
        </w:tc>
        <w:tc>
          <w:tcPr>
            <w:tcW w:w="0" w:type="auto"/>
            <w:tcBorders>
              <w:top w:val="outset" w:sz="6" w:space="0" w:color="auto"/>
              <w:left w:val="outset" w:sz="6" w:space="0" w:color="auto"/>
              <w:bottom w:val="outset" w:sz="6" w:space="0" w:color="auto"/>
              <w:right w:val="outset" w:sz="6" w:space="0" w:color="auto"/>
            </w:tcBorders>
          </w:tcPr>
          <w:p w14:paraId="7D876963" w14:textId="77777777" w:rsidR="004B72F5" w:rsidRDefault="004B72F5">
            <w:r>
              <w:rPr>
                <w:rFonts w:ascii="Arial" w:hAnsi="Arial" w:cs="Arial"/>
                <w:sz w:val="15"/>
                <w:szCs w:val="15"/>
              </w:rPr>
              <w:t>$225,000</w:t>
            </w:r>
          </w:p>
        </w:tc>
      </w:tr>
      <w:tr w:rsidR="004B72F5" w14:paraId="545398F9"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7368F946" w14:textId="77777777" w:rsidR="004B72F5" w:rsidRDefault="004B72F5">
            <w:r>
              <w:rPr>
                <w:rFonts w:ascii="Arial" w:hAnsi="Arial" w:cs="Arial"/>
                <w:sz w:val="15"/>
                <w:szCs w:val="15"/>
              </w:rPr>
              <w:t>In-Store Displays</w:t>
            </w:r>
          </w:p>
        </w:tc>
        <w:tc>
          <w:tcPr>
            <w:tcW w:w="0" w:type="auto"/>
            <w:tcBorders>
              <w:top w:val="outset" w:sz="6" w:space="0" w:color="auto"/>
              <w:left w:val="outset" w:sz="6" w:space="0" w:color="auto"/>
              <w:bottom w:val="outset" w:sz="6" w:space="0" w:color="auto"/>
              <w:right w:val="outset" w:sz="6" w:space="0" w:color="auto"/>
            </w:tcBorders>
          </w:tcPr>
          <w:p w14:paraId="1D2FF841" w14:textId="77777777" w:rsidR="004B72F5" w:rsidRDefault="006E5C1F">
            <w:r>
              <w:rPr>
                <w:rFonts w:ascii="Arial" w:hAnsi="Arial" w:cs="Arial"/>
                <w:sz w:val="15"/>
                <w:szCs w:val="15"/>
              </w:rPr>
              <w:t>$</w:t>
            </w:r>
            <w:r w:rsidR="004B72F5">
              <w:rPr>
                <w:rFonts w:ascii="Arial" w:hAnsi="Arial" w:cs="Arial"/>
                <w:sz w:val="15"/>
                <w:szCs w:val="15"/>
              </w:rPr>
              <w:t>92,000</w:t>
            </w:r>
          </w:p>
        </w:tc>
      </w:tr>
      <w:tr w:rsidR="004B72F5" w14:paraId="0C104C0A"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26206D9D" w14:textId="77777777" w:rsidR="004B72F5" w:rsidRDefault="004B72F5">
            <w:r>
              <w:rPr>
                <w:rFonts w:ascii="Arial" w:hAnsi="Arial" w:cs="Arial"/>
                <w:sz w:val="15"/>
                <w:szCs w:val="15"/>
              </w:rPr>
              <w:t>Magazine Advertising</w:t>
            </w:r>
          </w:p>
        </w:tc>
        <w:tc>
          <w:tcPr>
            <w:tcW w:w="0" w:type="auto"/>
            <w:tcBorders>
              <w:top w:val="outset" w:sz="6" w:space="0" w:color="auto"/>
              <w:left w:val="outset" w:sz="6" w:space="0" w:color="auto"/>
              <w:bottom w:val="outset" w:sz="6" w:space="0" w:color="auto"/>
              <w:right w:val="outset" w:sz="6" w:space="0" w:color="auto"/>
            </w:tcBorders>
          </w:tcPr>
          <w:p w14:paraId="4519DBC1" w14:textId="77777777" w:rsidR="004B72F5" w:rsidRDefault="00642A2C">
            <w:r>
              <w:rPr>
                <w:rFonts w:ascii="Arial" w:hAnsi="Arial" w:cs="Arial"/>
                <w:sz w:val="15"/>
                <w:szCs w:val="15"/>
              </w:rPr>
              <w:t>$2</w:t>
            </w:r>
            <w:r w:rsidR="004B72F5">
              <w:rPr>
                <w:rFonts w:ascii="Arial" w:hAnsi="Arial" w:cs="Arial"/>
                <w:sz w:val="15"/>
                <w:szCs w:val="15"/>
              </w:rPr>
              <w:t>04,000</w:t>
            </w:r>
          </w:p>
        </w:tc>
      </w:tr>
      <w:tr w:rsidR="004B72F5" w14:paraId="41803C3D" w14:textId="77777777" w:rsidTr="004B72F5">
        <w:trPr>
          <w:tblCellSpacing w:w="0" w:type="dxa"/>
        </w:trPr>
        <w:tc>
          <w:tcPr>
            <w:tcW w:w="0" w:type="auto"/>
            <w:tcBorders>
              <w:top w:val="outset" w:sz="6" w:space="0" w:color="auto"/>
              <w:left w:val="outset" w:sz="6" w:space="0" w:color="auto"/>
              <w:bottom w:val="outset" w:sz="6" w:space="0" w:color="auto"/>
              <w:right w:val="outset" w:sz="6" w:space="0" w:color="auto"/>
            </w:tcBorders>
          </w:tcPr>
          <w:p w14:paraId="6841D5B3" w14:textId="77777777" w:rsidR="004B72F5" w:rsidRDefault="004B72F5">
            <w:r>
              <w:rPr>
                <w:rFonts w:ascii="Arial" w:hAnsi="Arial" w:cs="Arial"/>
                <w:sz w:val="15"/>
                <w:szCs w:val="15"/>
              </w:rPr>
              <w:t>Newspaper Advertising</w:t>
            </w:r>
          </w:p>
        </w:tc>
        <w:tc>
          <w:tcPr>
            <w:tcW w:w="0" w:type="auto"/>
            <w:tcBorders>
              <w:top w:val="outset" w:sz="6" w:space="0" w:color="auto"/>
              <w:left w:val="outset" w:sz="6" w:space="0" w:color="auto"/>
              <w:bottom w:val="outset" w:sz="6" w:space="0" w:color="auto"/>
              <w:right w:val="outset" w:sz="6" w:space="0" w:color="auto"/>
            </w:tcBorders>
          </w:tcPr>
          <w:p w14:paraId="40B02B77" w14:textId="77777777" w:rsidR="004B72F5" w:rsidRDefault="004B72F5">
            <w:r>
              <w:rPr>
                <w:rFonts w:ascii="Arial" w:hAnsi="Arial" w:cs="Arial"/>
                <w:sz w:val="15"/>
                <w:szCs w:val="15"/>
              </w:rPr>
              <w:t>$ 84,000</w:t>
            </w:r>
          </w:p>
        </w:tc>
      </w:tr>
      <w:tr w:rsidR="004B72F5" w14:paraId="7A9041C4" w14:textId="77777777" w:rsidTr="004B72F5">
        <w:trPr>
          <w:trHeight w:val="180"/>
          <w:tblCellSpacing w:w="0" w:type="dxa"/>
        </w:trPr>
        <w:tc>
          <w:tcPr>
            <w:tcW w:w="0" w:type="auto"/>
            <w:tcBorders>
              <w:top w:val="outset" w:sz="6" w:space="0" w:color="auto"/>
              <w:left w:val="outset" w:sz="6" w:space="0" w:color="auto"/>
              <w:bottom w:val="outset" w:sz="6" w:space="0" w:color="auto"/>
              <w:right w:val="outset" w:sz="6" w:space="0" w:color="auto"/>
            </w:tcBorders>
          </w:tcPr>
          <w:p w14:paraId="6F93B8FD" w14:textId="77777777" w:rsidR="004B72F5" w:rsidRDefault="004B72F5">
            <w:pPr>
              <w:spacing w:line="180" w:lineRule="atLeast"/>
            </w:pPr>
            <w:r>
              <w:rPr>
                <w:rFonts w:ascii="Arial" w:hAnsi="Arial" w:cs="Arial"/>
                <w:sz w:val="15"/>
                <w:szCs w:val="15"/>
              </w:rPr>
              <w:t>Sweepstakes</w:t>
            </w:r>
          </w:p>
        </w:tc>
        <w:tc>
          <w:tcPr>
            <w:tcW w:w="0" w:type="auto"/>
            <w:tcBorders>
              <w:top w:val="outset" w:sz="6" w:space="0" w:color="auto"/>
              <w:left w:val="outset" w:sz="6" w:space="0" w:color="auto"/>
              <w:bottom w:val="outset" w:sz="6" w:space="0" w:color="auto"/>
              <w:right w:val="outset" w:sz="6" w:space="0" w:color="auto"/>
            </w:tcBorders>
          </w:tcPr>
          <w:p w14:paraId="112CB108" w14:textId="77777777" w:rsidR="004B72F5" w:rsidRDefault="004B72F5">
            <w:pPr>
              <w:spacing w:line="180" w:lineRule="atLeast"/>
            </w:pPr>
            <w:r>
              <w:rPr>
                <w:rFonts w:ascii="Arial" w:hAnsi="Arial" w:cs="Arial"/>
                <w:sz w:val="15"/>
                <w:szCs w:val="15"/>
              </w:rPr>
              <w:t>$ 50,000</w:t>
            </w:r>
          </w:p>
        </w:tc>
      </w:tr>
    </w:tbl>
    <w:p w14:paraId="0B37EF72" w14:textId="77777777" w:rsidR="004B72F5" w:rsidRDefault="004B72F5" w:rsidP="004B72F5">
      <w:r>
        <w:t> </w:t>
      </w:r>
      <w:r>
        <w:br/>
        <w:t> </w:t>
      </w:r>
    </w:p>
    <w:p w14:paraId="7BE9A9F9" w14:textId="77777777" w:rsidR="00D07108" w:rsidRDefault="00D07108" w:rsidP="004B72F5"/>
    <w:p w14:paraId="4E2AB330" w14:textId="77777777" w:rsidR="00D07108" w:rsidRDefault="00D07108" w:rsidP="004B72F5"/>
    <w:p w14:paraId="57290A7C" w14:textId="77777777" w:rsidR="00D07108" w:rsidRDefault="00D07108" w:rsidP="004B72F5"/>
    <w:p w14:paraId="5C840CEA" w14:textId="77777777" w:rsidR="00D07108" w:rsidRDefault="00D07108" w:rsidP="004B72F5"/>
    <w:p w14:paraId="50F04CFE" w14:textId="77777777" w:rsidR="004B72F5" w:rsidRDefault="004B72F5" w:rsidP="004B72F5">
      <w:pPr>
        <w:pStyle w:val="NormalWeb"/>
      </w:pPr>
      <w:r>
        <w:rPr>
          <w:rFonts w:ascii="Arial" w:hAnsi="Arial" w:cs="Arial"/>
          <w:b/>
          <w:bCs/>
          <w:sz w:val="20"/>
          <w:szCs w:val="20"/>
        </w:rPr>
        <w:t>THE DECISION</w:t>
      </w:r>
      <w:r>
        <w:t> </w:t>
      </w:r>
    </w:p>
    <w:p w14:paraId="2DC679E7" w14:textId="77777777" w:rsidR="004B72F5" w:rsidRDefault="006E5C1F" w:rsidP="004B72F5">
      <w:pPr>
        <w:pStyle w:val="NormalWeb"/>
      </w:pPr>
      <w:r>
        <w:rPr>
          <w:rFonts w:ascii="Arial" w:hAnsi="Arial" w:cs="Arial"/>
          <w:sz w:val="20"/>
          <w:szCs w:val="20"/>
        </w:rPr>
        <w:t>The Sheridan students</w:t>
      </w:r>
      <w:r w:rsidR="004B72F5">
        <w:rPr>
          <w:rFonts w:ascii="Arial" w:hAnsi="Arial" w:cs="Arial"/>
          <w:sz w:val="20"/>
          <w:szCs w:val="20"/>
        </w:rPr>
        <w:t xml:space="preserve"> were in the conference room discussing the results of their research </w:t>
      </w:r>
      <w:r w:rsidR="00B132E7">
        <w:rPr>
          <w:rFonts w:ascii="Arial" w:hAnsi="Arial" w:cs="Arial"/>
          <w:sz w:val="20"/>
          <w:szCs w:val="20"/>
        </w:rPr>
        <w:t>and analysis. As one student</w:t>
      </w:r>
      <w:r w:rsidR="004B72F5">
        <w:rPr>
          <w:rFonts w:ascii="Arial" w:hAnsi="Arial" w:cs="Arial"/>
          <w:sz w:val="20"/>
          <w:szCs w:val="20"/>
        </w:rPr>
        <w:t xml:space="preserve"> pointed out, “A strong case can be made for both target markets! Each has its own advantages a</w:t>
      </w:r>
      <w:r w:rsidR="00B132E7">
        <w:rPr>
          <w:rFonts w:ascii="Arial" w:hAnsi="Arial" w:cs="Arial"/>
          <w:sz w:val="20"/>
          <w:szCs w:val="20"/>
        </w:rPr>
        <w:t>nd limitations.”  Another</w:t>
      </w:r>
      <w:r w:rsidR="004B72F5">
        <w:rPr>
          <w:rFonts w:ascii="Arial" w:hAnsi="Arial" w:cs="Arial"/>
          <w:sz w:val="20"/>
          <w:szCs w:val="20"/>
        </w:rPr>
        <w:t xml:space="preserve"> </w:t>
      </w:r>
      <w:r w:rsidR="00B132E7">
        <w:rPr>
          <w:rFonts w:ascii="Arial" w:hAnsi="Arial" w:cs="Arial"/>
          <w:sz w:val="20"/>
          <w:szCs w:val="20"/>
        </w:rPr>
        <w:t xml:space="preserve">student </w:t>
      </w:r>
      <w:r w:rsidR="004B72F5">
        <w:rPr>
          <w:rFonts w:ascii="Arial" w:hAnsi="Arial" w:cs="Arial"/>
          <w:sz w:val="20"/>
          <w:szCs w:val="20"/>
        </w:rPr>
        <w:t>count</w:t>
      </w:r>
      <w:r w:rsidR="00D744FA">
        <w:rPr>
          <w:rFonts w:ascii="Arial" w:hAnsi="Arial" w:cs="Arial"/>
          <w:sz w:val="20"/>
          <w:szCs w:val="20"/>
        </w:rPr>
        <w:t>ered with the fact that Micronutrients</w:t>
      </w:r>
      <w:r w:rsidR="004B72F5">
        <w:rPr>
          <w:rFonts w:ascii="Arial" w:hAnsi="Arial" w:cs="Arial"/>
          <w:sz w:val="20"/>
          <w:szCs w:val="20"/>
        </w:rPr>
        <w:t xml:space="preserve"> </w:t>
      </w:r>
      <w:r w:rsidR="00D744FA">
        <w:rPr>
          <w:rFonts w:ascii="Arial" w:hAnsi="Arial" w:cs="Arial"/>
          <w:sz w:val="20"/>
          <w:szCs w:val="20"/>
        </w:rPr>
        <w:t xml:space="preserve">Canada </w:t>
      </w:r>
      <w:r w:rsidR="004B72F5">
        <w:rPr>
          <w:rFonts w:ascii="Arial" w:hAnsi="Arial" w:cs="Arial"/>
          <w:sz w:val="20"/>
          <w:szCs w:val="20"/>
        </w:rPr>
        <w:t>was a start-up business. “Their financial resources are extremely limited right now. They cannot increase their production capacity for at least two years, and if they hope to acquire expansion capital to increase their total capacity, they need to show a p</w:t>
      </w:r>
      <w:r w:rsidR="00D744FA">
        <w:rPr>
          <w:rFonts w:ascii="Arial" w:hAnsi="Arial" w:cs="Arial"/>
          <w:sz w:val="20"/>
          <w:szCs w:val="20"/>
        </w:rPr>
        <w:t xml:space="preserve">rofit as early as possible.”  A third student </w:t>
      </w:r>
      <w:r w:rsidR="004B72F5">
        <w:rPr>
          <w:rFonts w:ascii="Arial" w:hAnsi="Arial" w:cs="Arial"/>
          <w:sz w:val="20"/>
          <w:szCs w:val="20"/>
        </w:rPr>
        <w:t xml:space="preserve">was considering a more creative solution—targeting selected parts of either or both the consumer and commercial markets. </w:t>
      </w:r>
      <w:r w:rsidR="00886A03">
        <w:rPr>
          <w:rFonts w:ascii="Arial" w:hAnsi="Arial" w:cs="Arial"/>
          <w:sz w:val="20"/>
          <w:szCs w:val="20"/>
        </w:rPr>
        <w:t>A fourth student suggested keeping the options simple.  That student felt that a detailed analysis of both</w:t>
      </w:r>
      <w:r w:rsidR="004774CD">
        <w:rPr>
          <w:rFonts w:ascii="Arial" w:hAnsi="Arial" w:cs="Arial"/>
          <w:sz w:val="20"/>
          <w:szCs w:val="20"/>
        </w:rPr>
        <w:t xml:space="preserve"> the Consumer market and</w:t>
      </w:r>
      <w:r w:rsidR="00886A03">
        <w:rPr>
          <w:rFonts w:ascii="Arial" w:hAnsi="Arial" w:cs="Arial"/>
          <w:sz w:val="20"/>
          <w:szCs w:val="20"/>
        </w:rPr>
        <w:t xml:space="preserve"> Commercial market should be made.  Following that, a recommendation could be made to launch in either the Consumer market or the Commercial market.  </w:t>
      </w:r>
      <w:r w:rsidR="004B72F5">
        <w:rPr>
          <w:rFonts w:ascii="Arial" w:hAnsi="Arial" w:cs="Arial"/>
          <w:sz w:val="20"/>
          <w:szCs w:val="20"/>
        </w:rPr>
        <w:t xml:space="preserve">Before the group could begin to </w:t>
      </w:r>
      <w:r w:rsidR="00D744FA">
        <w:rPr>
          <w:rFonts w:ascii="Arial" w:hAnsi="Arial" w:cs="Arial"/>
          <w:sz w:val="20"/>
          <w:szCs w:val="20"/>
        </w:rPr>
        <w:t>assess the viability of Micronutrients Canada and its product, New Grow</w:t>
      </w:r>
      <w:r w:rsidR="00282A31">
        <w:rPr>
          <w:rFonts w:ascii="Arial" w:hAnsi="Arial" w:cs="Arial"/>
          <w:sz w:val="20"/>
          <w:szCs w:val="20"/>
        </w:rPr>
        <w:t>™</w:t>
      </w:r>
      <w:r w:rsidR="004B72F5">
        <w:rPr>
          <w:rFonts w:ascii="Arial" w:hAnsi="Arial" w:cs="Arial"/>
          <w:sz w:val="20"/>
          <w:szCs w:val="20"/>
        </w:rPr>
        <w:t>, they had to decide on which market to</w:t>
      </w:r>
      <w:r w:rsidR="00D744FA">
        <w:rPr>
          <w:rFonts w:ascii="Arial" w:hAnsi="Arial" w:cs="Arial"/>
          <w:sz w:val="20"/>
          <w:szCs w:val="20"/>
        </w:rPr>
        <w:t xml:space="preserve"> target, how to position New Grow</w:t>
      </w:r>
      <w:r w:rsidR="00282A31">
        <w:rPr>
          <w:rFonts w:ascii="Arial" w:hAnsi="Arial" w:cs="Arial"/>
          <w:sz w:val="20"/>
          <w:szCs w:val="20"/>
        </w:rPr>
        <w:t>™</w:t>
      </w:r>
      <w:r w:rsidR="004B72F5">
        <w:rPr>
          <w:rFonts w:ascii="Arial" w:hAnsi="Arial" w:cs="Arial"/>
          <w:sz w:val="20"/>
          <w:szCs w:val="20"/>
        </w:rPr>
        <w:t xml:space="preserve"> in that target market, and then they had to develop a viable marketing strategy for the launch year. The final pressure for the </w:t>
      </w:r>
      <w:r w:rsidR="00D744FA">
        <w:rPr>
          <w:rFonts w:ascii="Arial" w:hAnsi="Arial" w:cs="Arial"/>
          <w:sz w:val="20"/>
          <w:szCs w:val="20"/>
        </w:rPr>
        <w:t>group was the fact that Micronutrients</w:t>
      </w:r>
      <w:r w:rsidR="004B72F5">
        <w:rPr>
          <w:rFonts w:ascii="Arial" w:hAnsi="Arial" w:cs="Arial"/>
          <w:sz w:val="20"/>
          <w:szCs w:val="20"/>
        </w:rPr>
        <w:t xml:space="preserve"> needed to launch in February—just prior to the peak sel</w:t>
      </w:r>
      <w:r w:rsidR="00D744FA">
        <w:rPr>
          <w:rFonts w:ascii="Arial" w:hAnsi="Arial" w:cs="Arial"/>
          <w:sz w:val="20"/>
          <w:szCs w:val="20"/>
        </w:rPr>
        <w:t>ling season—thus the students</w:t>
      </w:r>
      <w:r w:rsidR="004B72F5">
        <w:rPr>
          <w:rFonts w:ascii="Arial" w:hAnsi="Arial" w:cs="Arial"/>
          <w:sz w:val="20"/>
          <w:szCs w:val="20"/>
        </w:rPr>
        <w:t xml:space="preserve"> knew there was no time to acquire additional market research. The decision had to be based on the information at hand.</w:t>
      </w:r>
      <w:r w:rsidR="004B72F5">
        <w:t> </w:t>
      </w:r>
      <w:r w:rsidR="004B72F5">
        <w:br/>
        <w:t> </w:t>
      </w:r>
    </w:p>
    <w:p w14:paraId="323F4D4A" w14:textId="77777777" w:rsidR="004B72F5" w:rsidRDefault="004B72F5"/>
    <w:sectPr w:rsidR="004B72F5" w:rsidSect="003E4E4D">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F5"/>
    <w:rsid w:val="000241E7"/>
    <w:rsid w:val="00024A46"/>
    <w:rsid w:val="00046F42"/>
    <w:rsid w:val="001528AC"/>
    <w:rsid w:val="001B0213"/>
    <w:rsid w:val="001B0FD6"/>
    <w:rsid w:val="001E619F"/>
    <w:rsid w:val="002359CA"/>
    <w:rsid w:val="00282A31"/>
    <w:rsid w:val="00297A08"/>
    <w:rsid w:val="00307613"/>
    <w:rsid w:val="003C07A1"/>
    <w:rsid w:val="003C5E56"/>
    <w:rsid w:val="003E4E4D"/>
    <w:rsid w:val="00475B5A"/>
    <w:rsid w:val="004774CD"/>
    <w:rsid w:val="00482195"/>
    <w:rsid w:val="004A7A77"/>
    <w:rsid w:val="004B72F5"/>
    <w:rsid w:val="0050739E"/>
    <w:rsid w:val="005B5E87"/>
    <w:rsid w:val="005E51EF"/>
    <w:rsid w:val="00642A2C"/>
    <w:rsid w:val="006B13A4"/>
    <w:rsid w:val="006C61EE"/>
    <w:rsid w:val="006D23FD"/>
    <w:rsid w:val="006E5C1F"/>
    <w:rsid w:val="00791B88"/>
    <w:rsid w:val="007B538D"/>
    <w:rsid w:val="00842024"/>
    <w:rsid w:val="00847096"/>
    <w:rsid w:val="00886A03"/>
    <w:rsid w:val="008F7E5E"/>
    <w:rsid w:val="00914CA7"/>
    <w:rsid w:val="009E7620"/>
    <w:rsid w:val="00A03E31"/>
    <w:rsid w:val="00A16CD1"/>
    <w:rsid w:val="00AD139F"/>
    <w:rsid w:val="00B0542E"/>
    <w:rsid w:val="00B132E7"/>
    <w:rsid w:val="00B665B5"/>
    <w:rsid w:val="00B9688F"/>
    <w:rsid w:val="00BA0705"/>
    <w:rsid w:val="00C37505"/>
    <w:rsid w:val="00C447DF"/>
    <w:rsid w:val="00C6586B"/>
    <w:rsid w:val="00C771C4"/>
    <w:rsid w:val="00CA2E91"/>
    <w:rsid w:val="00D07108"/>
    <w:rsid w:val="00D40D1B"/>
    <w:rsid w:val="00D744FA"/>
    <w:rsid w:val="00DA695A"/>
    <w:rsid w:val="00DE424D"/>
    <w:rsid w:val="00E36450"/>
    <w:rsid w:val="00E64315"/>
    <w:rsid w:val="00E67F96"/>
    <w:rsid w:val="00E705B6"/>
    <w:rsid w:val="00F20934"/>
    <w:rsid w:val="00F33FDD"/>
    <w:rsid w:val="00F70798"/>
    <w:rsid w:val="00FC71AF"/>
    <w:rsid w:val="00FF49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F7775A6"/>
  <w15:docId w15:val="{3F243CF5-0888-4DDC-A5F6-45E44A9A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72F5"/>
    <w:pPr>
      <w:spacing w:before="100" w:beforeAutospacing="1" w:after="100" w:afterAutospacing="1"/>
    </w:pPr>
  </w:style>
  <w:style w:type="paragraph" w:styleId="BalloonText">
    <w:name w:val="Balloon Text"/>
    <w:basedOn w:val="Normal"/>
    <w:semiHidden/>
    <w:rsid w:val="00C658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771973">
      <w:bodyDiv w:val="1"/>
      <w:marLeft w:val="0"/>
      <w:marRight w:val="0"/>
      <w:marTop w:val="0"/>
      <w:marBottom w:val="0"/>
      <w:divBdr>
        <w:top w:val="none" w:sz="0" w:space="0" w:color="auto"/>
        <w:left w:val="none" w:sz="0" w:space="0" w:color="auto"/>
        <w:bottom w:val="none" w:sz="0" w:space="0" w:color="auto"/>
        <w:right w:val="none" w:sz="0" w:space="0" w:color="auto"/>
      </w:divBdr>
      <w:divsChild>
        <w:div w:id="8827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Greener Pastures” The Launch of StaGreenTM by HydroCan  Page</vt:lpstr>
    </vt:vector>
  </TitlesOfParts>
  <Company>Sheridan</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Greener Pastures” The Launch of StaGreenTM by HydroCan  Page</dc:title>
  <dc:creator>Andy Byj</dc:creator>
  <cp:lastModifiedBy>David Coulter</cp:lastModifiedBy>
  <cp:revision>2</cp:revision>
  <cp:lastPrinted>2020-07-27T20:02:00Z</cp:lastPrinted>
  <dcterms:created xsi:type="dcterms:W3CDTF">2020-07-27T20:02:00Z</dcterms:created>
  <dcterms:modified xsi:type="dcterms:W3CDTF">2020-07-27T20:02:00Z</dcterms:modified>
</cp:coreProperties>
</file>